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ATAS/755/2021 vom 13. Juli 2021</w:t>
      </w:r>
    </w:p>
    <w:p>
      <w:r>
        <w:t>GE Cour de justice, 2021-07-13, FR</w:t>
      </w:r>
    </w:p>
    <w:p>
      <w:r>
        <w:rPr>
          <w:b/>
        </w:rPr>
        <w:t xml:space="preserve">Quelle: </w:t>
      </w:r>
      <w:r>
        <w:t>https://mcp.opencaselaw.ch/entscheid/ge_gerichte_ATAS_755_2021</w:t>
      </w:r>
    </w:p>
    <w:p>
      <w:r>
        <w:t>FR: GE_GERICHTE ATAS/755/2021 du 13 juillet 2021</w:t>
      </w:r>
    </w:p>
    <w:p>
      <w:r>
        <w:t>IT: GE_GERICHTE ATAS/755/2021 del 13 luglio 2021</w:t>
      </w:r>
    </w:p>
    <w:p>
      <w:pPr>
        <w:pStyle w:val="Heading2"/>
      </w:pPr>
      <w:r>
        <w:t>Erwägungen</w:t>
      </w:r>
    </w:p>
    <w:p>
      <w:r>
        <w:rPr>
          <w:b/>
        </w:rPr>
        <w:t>E. 11</w:t>
      </w:r>
    </w:p>
    <w:p>
      <w:r>
        <w:t>juillet 2003 confirmant l'ATA/514/2003 du 24 juin 2003, et les références citées) ;</w:t>
      </w:r>
    </w:p>
    <w:p>
      <w:r>
        <w:t>Que, sous réserve de dispositions particulières, le justiciable n'a en principe aucun droit de communiquer avec les autorités dans une autre langue que la langue officielle, fût-elle sa langue maternelle ou une autre langue nationale (ATF 136 I 149 consid. 4.3 ; ATF 127 V 219 consid. 2b.aa ; ATF 122 I 236 consid. 2c ; ATF 108 V 208 ; arrêt du Tribunal fédéral 1B_4/2012 du 11 janvier 2012 consid. 3) ;</w:t>
      </w:r>
    </w:p>
    <w:p>
      <w:r>
        <w:t>A/1685/2021 - 3/4 - Que, toutefois, pour éviter tout formalisme excessif, l’autorité judiciaire qui reçoit dans le délai légal un acte rédigé dans une autre langue que la langue officielle de la procédure doit, si elle n’entend pas se contenter de ce document ou le traduire elle-même, impartir à son auteur un délai supplémentaire pour en produire la traduction (ATF 106 Ia 299 consid. 2b/cc ; ATF 102 Ia 35 consid. 1) ;</w:t>
      </w:r>
    </w:p>
    <w:p>
      <w:r>
        <w:t>Qu'en l'occurrence, après un premier envoi recommandé infructueux, l’intéressé a concrètement bénéficié d’un délai de treize jours (entre le 10 et le 22 juin 2021) pour fournir à la chambre de céans une traduction de son acte de « recours », ceci sous peine d'irrecevabilité, mais il ne s’est pas manifesté dans ledit délai, ni d’ailleurs ultérieurement ;</w:t>
      </w:r>
    </w:p>
    <w:p>
      <w:r>
        <w:t>Qu’en conséquence, l’acte de « recours » en langue étrangère n’étant pas conforme aux dispositions qui précèdent et l’assuré n'ayant pas réagi dans les délais successifs qui lui ont été octroyés quoique dûment rendu attentif aux conséquences de la non-régularisation dudit acte, ce dernier doit être déclaré manifestement irrecevable, sans instruction préalable (art. 72 de la loi sur la procédure administrative du</w:t>
      </w:r>
    </w:p>
    <w:p>
      <w:r>
        <w:rPr>
          <w:b/>
        </w:rPr>
        <w:t>E. 12</w:t>
      </w:r>
    </w:p>
    <w:p>
      <w:r>
        <w:t>septembre 1985 [LPA-GE - E 5 10]) et sans qu’il soit nécessaire d’examiner les autres conditions de recevabilité ;</w:t>
      </w:r>
    </w:p>
    <w:p>
      <w:r>
        <w:t>Que, bien que la procédure ne soit pas gratuite en matière d’AI depuis le 1er juillet 2006 (art. 69 al. 1bis LAI), il ne sera pas perçu d’émolument à la charge du recourant malgré l'issue de son écrit, compte tenu des circonstances.</w:t>
      </w:r>
    </w:p>
    <w:p>
      <w:r>
        <w:t>******</w:t>
      </w:r>
    </w:p>
    <w:p>
      <w:r>
        <w:t>A/1685/2021 - 4/4 -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