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ATAS/752/2020 vom 8. September 2020</w:t>
      </w:r>
    </w:p>
    <w:p>
      <w:r>
        <w:t>GE Cour de justice, 2020-09-08, FR</w:t>
      </w:r>
    </w:p>
    <w:p>
      <w:r>
        <w:rPr>
          <w:b/>
        </w:rPr>
        <w:t xml:space="preserve">Quelle: </w:t>
      </w:r>
      <w:r>
        <w:t>https://mcp.opencaselaw.ch/entscheid/ge_gerichte_ATAS_752_2020</w:t>
      </w:r>
    </w:p>
    <w:p>
      <w:r>
        <w:t>FR: GE_GERICHTE ATAS/752/2020 du 8 septembre 2020</w:t>
      </w:r>
    </w:p>
    <w:p>
      <w:r>
        <w:t>IT: GE_GERICHTE ATAS/752/2020 del 8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 [LPA-GE - E 5 10]).</w:t>
      </w:r>
    </w:p>
    <w:p>
      <w:r>
        <w:t>A/4691/2019 - 6/10 -</w:t>
      </w:r>
    </w:p>
    <w:p>
      <w:r>
        <w:rPr>
          <w:b/>
        </w:rPr>
        <w:t>E. 3</w:t>
      </w:r>
    </w:p>
    <w:p>
      <w:r>
        <w:t>L'objet du litige, déterminé par la décision du 2 décembre 2019 querellée, porte uniquement sur le point de savoir si l'intimé était en droit de refuser d'entrer en matière sur la demande de révision déposée le 4 septembre 2019 par la recourante.</w:t>
      </w:r>
    </w:p>
    <w:p>
      <w:r>
        <w:rPr>
          <w:b/>
        </w:rPr>
        <w:t>E. 4</w:t>
      </w:r>
    </w:p>
    <w:p>
      <w:r>
        <w:t>a. Selon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w:t>
      </w:r>
    </w:p>
    <w:p>
      <w:r>
        <w:t>A/4691/2019 - 7/10 -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w:t>
      </w:r>
    </w:p>
    <w:p>
      <w:r>
        <w:t>A/4691/2019 - 8/10 - présentaient au moment de la décision administrative litigieuse et les circonstances prévalant à l'époque de la dernière décision d'octroi ou de refus des prestations (ATF 130 V 64 consid. 2 ; ATF 109 V 262 consid. 4a).</w:t>
      </w:r>
    </w:p>
    <w:p>
      <w:r>
        <w:rPr>
          <w:b/>
        </w:rPr>
        <w:t>E. 5</w:t>
      </w:r>
    </w:p>
    <w:p>
      <w:r>
        <w:t>a. Il ressort de ce qui précède que la question qui se pose en l’espèce est uniquement celle de savoir si la recourante, au moment de la décision litigieuse, soit le 2 décembre 2019, a rendu plausible une aggravation de son état de santé survenue depuis le 25 août 2015, date de la première décision désormais entrée en force. Tel n’est pas le cas. Tandis que l'intimé l'a invitée, par pli du 11 septembre 2019, à fournir tous les documents médicaux permettant de rendre plausible l'aggravation de son état de santé depuis le 25 août 2015, en lui impartissant un délai à cette fin, l’assurée n'a pas réagi. En outre, dans son courrier du 7 novembre 2019 adressé à l’OAI après son projet de décision du 23 octobre 2019, l’intéressée n'a pas davantage remis de pièces attestant de l'aggravation de son état de santé alléguée, mais s’est exprimée sur un tout autre sujet. Par conséquent, force est de constater que la recourante n’a pas rendu plausible une aggravation de son état de santé, de sorte que c’est à juste titre que l’intimé a refusé d’entrer en matière sur sa demande de révision du 4 septembre 2019. Ceci vaut même si l’absence de production des renseignements et rapports médicaux requis n’était pas imputable à une quelconque faute ou responsabilité de la part de l’intéressée, seules comptant ici les circonstances objectives. b. Ainsi, les pièces médicales produites après la décision litigieuse, soit après le 2 décembre 2019, ne sauraient être prises en compte pour procéder à l’évaluation de la situation. Cela étant, et en conformité avec la jurisprudence de la chambre de céans, l’OAI paraît avoir considéré l’écrit de la Dresse B______ du 18 décembre 2019 comme une nouvelle demande de révision à examiner dans les meilleurs délais, comme le montrent ses courriers de janvier 2020 à l’assurée (à tout le moins par analogie ATAS/63/2020 du 29 janvier 2020 consid. 5 ; ATAS/864/2019 du 25 septembre 2019 consid. 7e et les références citées). Dans ce cadre, il reviendra à la recourante de fournir toutes les pièces éventuellement requises par l'intimé afin d'établir sa situation, ce qu’elle a notamment fait en déposant le rapport du 15 juin 2020 de son rhumatologue traitant. À cet égard, il est rappelé qu’il lui est possible de se faire représenter pour faire valoir ses droits.</w:t>
      </w:r>
    </w:p>
    <w:p>
      <w:r>
        <w:rPr>
          <w:b/>
        </w:rPr>
        <w:t>E. 6</w:t>
      </w:r>
    </w:p>
    <w:p>
      <w:r>
        <w:t>Vu ce qui précède, le recours est rejeté.</w:t>
      </w:r>
    </w:p>
    <w:p>
      <w:r>
        <w:rPr>
          <w:b/>
        </w:rPr>
        <w:t>E. 7</w:t>
      </w:r>
    </w:p>
    <w:p>
      <w:r>
        <w:t>La procédure de recours en matière de contestation portant sur l'octroi ou le refus de prestations de l’AI étant soumise à des frais de justice, la recourante sera</w:t>
      </w:r>
    </w:p>
    <w:p>
      <w:r>
        <w:t>A/4691/2019 - 9/10 - condamnée au paiement d'un émolument, arrêté au montant minimal de CHF 200.- (art. 69 al. 1bis LAI).</w:t>
      </w:r>
    </w:p>
    <w:p>
      <w:r>
        <w:t>A/4691/2019 - 10/10 -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