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ATAS/752/2019 vom 21. August 2019</w:t>
      </w:r>
    </w:p>
    <w:p>
      <w:r>
        <w:t>GE Cour de justice, 2019-08-21, FR</w:t>
      </w:r>
    </w:p>
    <w:p>
      <w:r>
        <w:rPr>
          <w:b/>
        </w:rPr>
        <w:t xml:space="preserve">Quelle: </w:t>
      </w:r>
      <w:r>
        <w:t>https://mcp.opencaselaw.ch/entscheid/ge_gerichte_ATAS_752_2019</w:t>
      </w:r>
    </w:p>
    <w:p>
      <w:r>
        <w:t>FR: GE_GERICHTE ATAS/752/2019 du 21 août 2019</w:t>
      </w:r>
    </w:p>
    <w:p>
      <w:r>
        <w:t>IT: GE_GERICHTE ATAS/752/2019 del 21 agosto 2019</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A/1269/2018 - 7/14 - Sa compétence ratione materiae pour juger du cas d’espèce est ainsi établie. b. Aux termes de l'art. 58 al. 1 LPGA, en liaison avec l'art. 1 al. 1 LAA, le tribunal des assurances compétent pour connaître d'un recours contre une décision en matière d'assurance-accidents obligatoire est celui du canton de domicile de l'assuré ou d'une autre partie au moment du dépôt du recours. Selon l'al. 2,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En l’occurrence, le recourant est domicilié en France. Le for doit donc être déterminé en fonction du domicile du dernier employeur suisse, conformément à l’art. 58 al. 2 LPGA, soit in casu le canton de Genève (cf. ATF 8C_872/2017 du</w:t>
      </w:r>
    </w:p>
    <w:p>
      <w:r>
        <w:rPr>
          <w:b/>
        </w:rPr>
        <w:t>E. 3</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L’objet du litige porte sur la question de savoir si les troubles oculaires présentés par le recourant sont en relation de causalité avec l’événement du 13 février 2013.</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A/1269/2018 - 8/14 -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A/1269/2018 - 9/14 -</w:t>
      </w:r>
    </w:p>
    <w:p>
      <w:r>
        <w:rPr>
          <w:b/>
        </w:rPr>
        <w:t>E. 6</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8</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w:t>
      </w:r>
    </w:p>
    <w:p>
      <w:r>
        <w:t>A/1269/2018 - 10/14 -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9</w:t>
      </w:r>
    </w:p>
    <w:p>
      <w:r>
        <w:t>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10</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A/1269/2018 - 11/14 -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t>A/1269/2018 - 12/14 -</w:t>
      </w:r>
    </w:p>
    <w:p>
      <w:r>
        <w:rPr>
          <w:b/>
        </w:rPr>
        <w:t>E. 13</w:t>
      </w:r>
    </w:p>
    <w:p>
      <w:r>
        <w:t>En l’espèce, la chambre de céans constate préalablement que les circonstances de l’événement du 13 février 2013 ne sont pas claires. En effet, dans la déclaration d’accident du 27 février 2013 il est indiqué que le recourant, en montant dans sa machine, a glissé et est tombé sur le dos. Le recourant a toujours contesté cette version des faits et a déclaré qu’il avait violemment heurté de la tête le pare-brise de la machine de chantier. Il convient de relever à cet égard que la description de l’événement contenue dans la déclaration d’accident est celle faite par l’employeur du recourant, ce dernier n’ayant pas été interpellé par l’intimée. Or, lorsque le recourant a sollicité la réouverture de son dossier en 2015, il a déclaré spontanément souffrir de problèmes oculaires suite à l’accident du 13 février 2013 lors duquel il avait violemment percuté le pare-brise de l’engin. Il a toujours maintenu cette version des faits. La chambre de céans relève également que les diagnostics posés par le Dr C______, médecin traitant, le jour de l’accident prêtent également à confusion ; en effet, dans un premier certificat médical d’arrêt de travail, le Dr C______ diagnostique des lombalgies aiguës, alors que dans un deuxième certificat daté du même jour, il fait état d’une entorse cervicale. Il n’y a pas de description de l’événement. Il n’est toutefois pas exclu qu’un choc violent en avant dans le pare- brise entraîne à la fois des lombalgies et une entorse cervicale. Le déroulement de l’accident est toutefois important afin de savoir si le recourant a été violemment projeté en avant et a percuté le pare-brise. Le premier constat du médecin traitant le jour de l’accident est également déterminant. Faute de renseignements précis quant au déroulement de l’événement et des lésions constatées, la chambre de céans ne peut se prononcer sur ce point.</w:t>
      </w:r>
    </w:p>
    <w:p>
      <w:r>
        <w:rPr>
          <w:b/>
        </w:rPr>
        <w:t>E. 14</w:t>
      </w:r>
    </w:p>
    <w:p>
      <w:r>
        <w:t>Concernant les troubles oculaires, le recourant soutient qu’ils font suite à l’événement du 13 février 2013 et se réfère aux documents médicaux produits. Il explique avoir souffert de douleurs cervicales et frontales, de maux de tête, puis de démangeaisons à l’œil gauche. Le Dr D______ indique dans son rapport du 8 juillet 2013, que le recourant se plaignait depuis 2-3 mois d’un flou visuel monoculaire gauche (cf. également rapport de consultation du 16 juillet 2013) et d’une baisse progressive de l’acuité visuelle depuis le mois de février 2013 (cf. rapport du Dr F_____ du 28 novembre 2013), qui ferait suite à un traumatisme crânien (cf. rapport du Dr G_____ du 17 décembre 2013 ; compte-rendu opératoire des Hospices civils de Lyon). L’examen ophtalmologique du 28 octobre 2013 a montré un décollement de rétine à l’œil gauche, pour lequel l’assuré a été opéré en décembre 2013. Le Dr H_____, dans son certificat médical du 3 novembre 2016, conclut à une baisse de l’acuité visuelle au niveau de l’œil gauche, secondaire à une atrophie de l’épithélium pigmentaire maculaire ; cet aspect est compatible avec des séquelles d’un éventuel traumatisme sévère au niveau de l’oeil gauche.</w:t>
      </w:r>
    </w:p>
    <w:p>
      <w:r>
        <w:t>A/1269/2018 - 13/14 - Le médecin-conseil de l’intimée considère en revanche que le lien de causalité entre les troubles oculaires et l’événement du 13 février 2013 n’est très probablement pas établi, car un traumatisme direct n’a pas eu lieu à l’époque et le décollement de rétine est intervenu plus de quatre mois après l’accident. Il est par ailleurs possible que l’opération de la cataracte en 2008 ait pu provoquer un tel décollement, même plusieurs années après. Par ailleurs, la maladie de Marfan peut être responsable de plusieurs atteintes au niveau du globe oculaire, notamment la subluxation du cristallin, affection que le recourant présentait et qui a nécessité l’opération de la cataracte. Le recourant réfute cette argumentation, rappelant que la maladie de Marfan n’a en réalité pas été diagnostiquée. En outre suite à l’opération de la cataracte en 2008, il n’a jamais présenté de problèmes jusqu’en 2013, après l’accident. Force est de constater que la situation médicale du recourant n’est pas claire. Les avis des médecins qui ont traité le recourant ne sont pas dépourvus de toute pertinence, de sorte que la chambre de céans ne saurait les écarter sans autre. Le Dr L_____ mentionne la maladie de Marfan, diagnostic qui apparemment n’aurait pas été confirmé chez le recourant. Les aspects médicaux doivent être clarifiés par la mise en œuvre d’une expertise. La chambre de céans n’est ainsi pas en mesure de se prononcer sur la question de la causalité entre les troubles oculaires et l’événement du 13 février 2013, notamment sur la question de savoir si, nonobstant un état préexistant - ce qu’il conviendra de déterminer - l’état a été causé ou aggravé par l’événement.</w:t>
      </w:r>
    </w:p>
    <w:p>
      <w:r>
        <w:rPr>
          <w:b/>
        </w:rPr>
        <w:t>E. 15</w:t>
      </w:r>
    </w:p>
    <w:p>
      <w:r>
        <w:t>Au vu de ce qui précède, le recours sera admis et la décision du 15 février 2018 sera annulée. La cause sera renvoyée à l’intimée pour instruction complémentaire, laquelle portera aussi bien sur les circonstances exactes de l’événement accidentel du 13 février 2013 (déroulement de l’événement, lésions constatées par le Dr C______ le jour de la consultation), que sur le plan médical par la mise en œuvre d’une expertise.</w:t>
      </w:r>
    </w:p>
    <w:p>
      <w:r>
        <w:rPr>
          <w:b/>
        </w:rPr>
        <w:t>E. 16</w:t>
      </w:r>
    </w:p>
    <w:p>
      <w:r>
        <w:t>Le recourant obtenant gain de cause, une indemnité de CHF 2'000.- lui sera accordée à titre de participation à ses frais et dépens (art. 61 let. g LPGA; art. 6 du règlement sur les frais, émoluments et indemnités en matière administrative du 30 juillet 1986 [RFPA - E 5 10.03]).</w:t>
      </w:r>
    </w:p>
    <w:p>
      <w:r>
        <w:rPr>
          <w:b/>
        </w:rPr>
        <w:t>E. 17</w:t>
      </w:r>
    </w:p>
    <w:p>
      <w:r>
        <w:t>Pour le surplus, la procédure est gratuite (art. 61 let. a LPGA).</w:t>
      </w:r>
    </w:p>
    <w:p>
      <w:r>
        <w:t>A/1269/2018 - 14/14 -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