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ATAS/752/2016 vom 20. September 2016</w:t>
      </w:r>
    </w:p>
    <w:p>
      <w:r>
        <w:t>GE Cour de justice, 2016-09-20, FR</w:t>
      </w:r>
    </w:p>
    <w:p>
      <w:r>
        <w:rPr>
          <w:b/>
        </w:rPr>
        <w:t xml:space="preserve">Quelle: </w:t>
      </w:r>
      <w:r>
        <w:t>https://mcp.opencaselaw.ch/entscheid/ge_gerichte_ATAS_752_2016</w:t>
      </w:r>
    </w:p>
    <w:p>
      <w:r>
        <w:t>FR: GE_GERICHTE ATAS/752/2016 du 20 septembre 2016</w:t>
      </w:r>
    </w:p>
    <w:p>
      <w:r>
        <w:t>IT: GE_GERICHTE ATAS/752/2016 del 20 settembre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prescrit, le présent recours est recevable (art. 56 ss LPGA).</w:t>
      </w:r>
    </w:p>
    <w:p>
      <w:r>
        <w:rPr>
          <w:b/>
        </w:rPr>
        <w:t>E. 3</w:t>
      </w:r>
    </w:p>
    <w:p>
      <w:r>
        <w:t>Le litige porte, d’une part, sur les frais administratifs facturés à l’assuré pour l’année 2014, et sur la retenue à laquelle a procédé la caisse à hauteur de ces frais sur la rente d’invalidité, d’autre part.</w:t>
      </w:r>
    </w:p>
    <w:p>
      <w:r>
        <w:rPr>
          <w:b/>
        </w:rPr>
        <w:t>E. 4</w:t>
      </w:r>
    </w:p>
    <w:p>
      <w:r>
        <w:t>L’assuré ne conteste pas être soumis à l’obligation de verser des cotisations personnelles AVS-AI en sa qualité de non-actif. Il s’oppose au paiement de frais administratifs, dont il estime que le montant est trop élevé, « vu que tout est informatisé ». Les frais administratifs sont prévus à l’art. 69 al. 1 LAVS, aux termes duquel « Pour couvrir leurs frais d'administration, les caisses de compensation perçoivent de leurs affiliés (employeurs, personnes exerçant une activité indépendante, salariés dont l'employeur n'est pas tenu de payer des cotisations, personnes n'exerçant aucune activité lucrative et personnes assurées facultativement en vertu de l'art. 2) des contributions aux frais d'administration différenciées selon leur capacité financière. L'art. 15 est applicable. Le Conseil fédéral pourra prendre les mesures nécessaires afin d'empêcher que les taux des contributions aux frais d'administration ne diffèrent trop d'une caisse à l'autre ». Selon l’art. 1 de l’ordonnance sur le taux maximum des contributions aux frais d’administration dans l’AVS, « Les contributions aux frais d'administration perçues par les caisses de compensation conformément à l'art. 69, al. 1, de la loi fédérale du 20 décembre 1946 sur l'assurance-vieillesse et survivants1 ne doivent pas dépasser 5% de la</w:t>
      </w:r>
    </w:p>
    <w:p>
      <w:r>
        <w:t>A/1970/2016 - 4/6 - somme des cotisations que doivent verser les employeurs, les personnes exerçant une activité indépendante, les assurés dont l'employeur n'est pas tenu de payer des cotisations et les personnes n'exerçant aucune activité lucrative » (ATAS/7/2011). Les frais administratifs ont en l’espèce été calculés sur la base d’un taux de 5%, soit conformément aux dispositions légales et réglementaires en vigueur. Il résulte de ce qui précède que la caisse est en droit de réclamer à l’assuré le paiement de la somme de CHF 24.- à titre de frais administratifs pour l’année 2014.</w:t>
      </w:r>
    </w:p>
    <w:p>
      <w:r>
        <w:rPr>
          <w:b/>
        </w:rPr>
        <w:t>E. 5</w:t>
      </w:r>
    </w:p>
    <w:p>
      <w:r>
        <w:t>L’assuré s’oppose également à la retenue sur rente.</w:t>
      </w:r>
    </w:p>
    <w:p>
      <w:r>
        <w:rPr>
          <w:b/>
        </w:rPr>
        <w:t>E. 6</w:t>
      </w:r>
    </w:p>
    <w:p>
      <w:r>
        <w:t>Aux termes de l’art. 20 al. 2 let. a LAVS, « Peuvent être compensées avec des prestations échues: a. les créances découlant de la présente loi, de la LAI4, de la loi fédérale du 25 septembre 1952 sur le régime des allocations pour perte de gain en faveur des personnes servant dans l'armée ou dans la protection civile, et de la loi fédérale du 20 juin 1952 sur les allocations familiales dans l'agriculture ». L'art. 20 al. 2 LAVS a créé, en matière de compensation, un régime bien adapté aux particularités des assurances sociales et notamment de l'AVS (ATF 115 V 341 consid. 2b). La possibilité de compenser des cotisations avec des prestations selon cet article s'écarte des dispositions du code des obligations. Ainsi, il a toujours été admis que l'art. 20 LAVS dérogeait dans une certaine mesure à la règle de la réciprocité des sujets de droits posées par l'art. 120 al. 1 CO (VALTERIO, Commentaire de la loi sur l'assurance-vieillesse et survivants, tome II [Les prestations], Lausanne 1988, p. 237 ss ;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 KIESER, Bundesgesetz über die Alters- und Hinterlassenenversicherung, Zurich 2005, p. 153 ss ad art. 20).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510 consid. 2.4, 115 V 343 consid. 2b, 111 V 2 consid. 3a, 104 V 7 consid. 3b). Une relation étroite de cette nature existe, par exemple, entre les cotisations personnelles dues par le père décédé et la rente d'orphelin de père (ATFA 1956 p. 190 consid. 1, 1961 p. 29 ss). La faculté d'opérer la compensation a aussi maintes fois été affirmée en ce qui concerne les cotisations personnelles du mari décédé et la rente ou l'allocation unique revenant à sa veuve. Une créance de cotisations à l'encontre d'un débiteur décédé peut aussi être compensée avec les rentes de survivants revenant à ses héritiers, quand bien même ceux-ci ont répudié la</w:t>
      </w:r>
    </w:p>
    <w:p>
      <w:r>
        <w:t>A/1970/2016 - 5/6 - succession (arrêt du TF du 6 juin 2005, H 192/04, ATFA 1969 p. 93, 1953 p. 285, 1951 p. 39). Il a également été jugé admissible de compenser des cotisations personnelles dues par l'ancien mari décédé et produites dans la procédure de bénéfice d'inventaire, avec une rente de veuve revenant à la femme divorcée (ATF 115 V 341). De même, la moitié de la rente pour couple réclamée par l'épouse pouvait être compensée avec une créance en réparation du dommage (art. 52 LAVS) contre l'époux (ATF 107 V 72). En revanche, les créances de cotisations qui n'ont pas été portées à l'inventaire officiel de manière fautive, ne sont plus compensables (ATF 111 V 3 ; ATFA non publié du 6 juin 2005, H 192/04 consid. 3.3). Enfin,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Pour le calcul du minimum vital de l'assuré, il y a lieu d'appliquer les règles du droit des poursuites (ATF 131 V 252 consid. 1.2). En l’espèce, l’assuré est débiteur d’un montant de CHF 24.-, correspondant aux frais administratifs 2014. La caisse est fondée à procéder à une retenue de ce montant sur la rente d’invalidité qu’il perçoit, le minimum vital étant à l’évidence respecté.</w:t>
      </w:r>
    </w:p>
    <w:p>
      <w:r>
        <w:rPr>
          <w:b/>
        </w:rPr>
        <w:t>E. 7</w:t>
      </w:r>
    </w:p>
    <w:p>
      <w:r>
        <w:t>Le recours est rejeté.</w:t>
      </w:r>
    </w:p>
    <w:p>
      <w:r>
        <w:t>A/1970/2016 - 6/6 -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