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ATAS/752/2011 vom 17. August 2011</w:t>
      </w:r>
    </w:p>
    <w:p>
      <w:r>
        <w:t>GE Cour de justice, 2011-08-17, FR</w:t>
      </w:r>
    </w:p>
    <w:p>
      <w:r>
        <w:rPr>
          <w:b/>
        </w:rPr>
        <w:t xml:space="preserve">Quelle: </w:t>
      </w:r>
      <w:r>
        <w:t>https://mcp.opencaselaw.ch/entscheid/ge_gerichte_ATAS_752_2011</w:t>
      </w:r>
    </w:p>
    <w:p>
      <w:r>
        <w:t>FR: GE_GERICHTE ATAS/752/2011 du 17 août 2011</w:t>
      </w:r>
    </w:p>
    <w:p>
      <w:r>
        <w:t>IT: GE_GERICHTE ATAS/752/2011 del 17 agosto 2011</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Sa compétence pour juger du cas d’espèce est ainsi établie.</w:t>
      </w:r>
    </w:p>
    <w:p>
      <w:r>
        <w:rPr>
          <w:b/>
        </w:rPr>
        <w:t>E. 2</w:t>
      </w:r>
    </w:p>
    <w:p>
      <w:r>
        <w:t>La loi fédérale sur la prévoyance professionnelle vieillesse, survivants et invalidité, du 25 juin 1982 (LPP; RS 831.40) institue un régime d'assurance obligatoire des salariés (art. 2 al. 1 LPP). Selon l'art. 11 al. 1 LPP, tout employeur occupant des salariés soumis à l'assurance obligatoire doit être affilié à une institution de prévoyance inscrite dans le registre</w:t>
      </w:r>
    </w:p>
    <w:p>
      <w:r>
        <w:t>A/1623/2011 - 4/8 -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lieu avec effet rétroactif (art. 11 al. 3 LPP).</w:t>
      </w:r>
    </w:p>
    <w:p>
      <w:r>
        <w:rPr>
          <w:b/>
        </w:rPr>
        <w:t>E. 2.2</w:t>
      </w:r>
    </w:p>
    <w:p>
      <w:r>
        <w:t>du Règlement concernant les frais du 13 décembre 2007, entré en vigueur le 1er janvier 2008. Pour tous ces motifs, il y a lieu d'admettre la demande et de prononcer la mainlevée définitive de l'opposition au commandement de payer.</w:t>
      </w:r>
    </w:p>
    <w:p>
      <w:r>
        <w:rPr>
          <w:b/>
        </w:rPr>
        <w:t>E. 3</w:t>
      </w:r>
    </w:p>
    <w:p>
      <w:r>
        <w:t>Le litige comporte une demande en condamnation au paiement des cotisations échues, aux frais administratifs et de poursuite, ainsi qu'une demande en mainlevée de l'opposition faite au commandement de payer.</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En l'espèce, selon le contrat No 73960 72253 signé en date des 25 janvier 2007 et 9 mars 2007, la défenderesse a été affiliée auprès de la demanderesse avec effet au 1er décembre 2006.</w:t>
      </w:r>
    </w:p>
    <w:p>
      <w:r>
        <w:t>A/1623/2011 - 5/8 - La Cour de céans relève que la défenderesse n’a jamais contesté les décomptes de cotisations, ni les bordereaux de primes. Il ressort de l'ensemble des pièces produites par la demanderesse que la défenderesse est demeurée débitrice d'un montant de 2'135 fr. 15 correspondant aux cotisations des employés demeurées impayées au 31 mars 2010 pour les années en cause. Cela étant, la simple passivité de la débitrice, celle-ci n'ayant réagi ni aux sommations de la demanderesse, ni à celles de la Cour de céans, ne saurait empêcher la demanderesse d'engager et de continuer des procédures de recouvrement afin d'obtenir la reconnaissance de ses droits (ATA J. du 5 septembre 1995). En ce qui concerne les frais de poursuite, ils sont d'office supportés par le débiteur lorsque la poursuite aboutit (JdT 1974 III 32). S’agissant des intérêts, il est admis en matière de prévoyance professionnelle que des intérêts moratoires sont dus par le débiteur en demeure; le taux d'intérêt moratoire est de 5%, à défaut de disposition réglementaire topique (art. 104 al. 1 CO; ATF 130 V 421 consid. 5.1 et les arrêts cités). En l’occurrence, l’art. 2.3 let. f) des Conditions générales de la fondation du 12 décembre 2008, entrées en vigueur le 1er novembre 2008, prévoient qu’un intérêt moratoire de 6 % est calculé dès la date d’échéance sur les cotisations non encore réglées. Par conséquent, la demanderesse est en droit de réclamer un intérêt moratoire au taux de 6 %. Quant aux frais réclamés par la demanderesse à hauteur de 1'250 fr., ils sont prévus à l’art.</w:t>
      </w:r>
    </w:p>
    <w:p>
      <w:r>
        <w:rPr>
          <w:b/>
        </w:rPr>
        <w:t>E. 6</w:t>
      </w:r>
    </w:p>
    <w:p>
      <w:r>
        <w:t>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w:t>
      </w:r>
    </w:p>
    <w:p>
      <w:r>
        <w:t>A/1623/2011 - 6/8 -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La Tribunal fédéral des assurances a également rappelé qu’il y a lieu de faire une différence entre, d’une part, la sanction constituée par la mise des frais de procédure à la charge d’une partie qui agit par légèreté ou de manière téméraire au sens de l’art. 61 let. a de la loi fédérale sur la partie générale des assurances sociales (LPGA - RS 830.1 ; en vigueur depuis le 1er janvier 2003) et, d’autre part, le droit aux dépens selon l’art.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Selon l’ATF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nécessitent une grande quantité de travail qui dépasse le cadre de ce que l’on peut normalement et raisonnablement exiger de quelqu’un pour s’occuper de ses affaires personnelles ; il faut donc une masse de travail qui gêne de manière importante l’occupation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w:t>
      </w:r>
    </w:p>
    <w:p>
      <w:r>
        <w:rPr>
          <w:b/>
        </w:rPr>
        <w:t>E. 7</w:t>
      </w:r>
    </w:p>
    <w:p>
      <w:r>
        <w:t>En l’espèce, il convient de déterminer en premier lieu si la défenderesse a agi avec légèreté ou témérité, justifiant une exception au principe de la gratuité de la procédure, puis, cela fait, si des dépens peuvent être octroyés à la demanderesse. Compte tenu de l’attitude de la défenderesse avant le procès ainsi qu’au cours de la procédure judiciaire, la légèreté de son comportement doit être constatée. En effet, elle ne s’est pas acquittée des cotisations dues pour les années litigieuses, nonobstant les très nombreux rappels et mises en demeure, forçant la demanderesse à entamer des poursuites. Bien que la demanderesse lui ait donné la possibilité de</w:t>
      </w:r>
    </w:p>
    <w:p>
      <w:r>
        <w:t>A/1623/2011 - 7/8 - retirer son opposition au commandement de payer et l’ait avertie des sanctions auxquelles elle s’exposerait si elle persistait, la défenderesse n’a pas réagi, contraignant ainsi la demanderesse à déposer une requête en mainlevée. En outre, appelé à se déterminer à deux reprises par la Cour de céans, elle n’a pas daigné répondre. Au vu de ces différents éléments, la Cour de céans est fondée, compte tenu de la jurisprudence précitée, à lui réclamer un émolument à titre de frais de procédure. Pour en fixer le montant, la Cour statue dans les limites établies par règlement du Conseil d’Etat. Les frais de procédure qui peuvent être mis à la charge de la partie comprennent l’émolument d’arrêté et les débours (art. 1 du Règlement sur les frais, émoluments et indemnités en procédure administrative du 30 juillet 1986; RFPA - E 5 10.03) En règle générale, l’émolument d’arrêté n’excède pas 10'000 fr. (art. 2 al. 1 RFPA). La Cour de céans condamnera dès lors la défenderesse à payer un émolument de 500 fr.</w:t>
      </w:r>
    </w:p>
    <w:p>
      <w:r>
        <w:rPr>
          <w:b/>
        </w:rPr>
        <w:t>E. 8</w:t>
      </w:r>
    </w:p>
    <w:p>
      <w:r>
        <w:t>La défenderesse ayant agi de manière légère, reste à examiner la question des dépens. Dès lors que la demanderesse a agi par l’intermédiaire de son avocat pour faire valoir sa créance, elle a droit à une participation à ses frais et dépens, fixée en l’occurrence à 1'000 fr.</w:t>
      </w:r>
    </w:p>
    <w:p>
      <w:r>
        <w:t>A/1623/2011 - 8/8 -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