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ATAS/751/2014 vom 19. Juni 2014</w:t>
      </w:r>
    </w:p>
    <w:p>
      <w:r>
        <w:t>GE Cour de justice, 2014-06-19, FR</w:t>
      </w:r>
    </w:p>
    <w:p>
      <w:r>
        <w:rPr>
          <w:b/>
        </w:rPr>
        <w:t xml:space="preserve">Quelle: </w:t>
      </w:r>
      <w:r>
        <w:t>https://mcp.opencaselaw.ch/entscheid/ge_gerichte_ATAS_751_2014</w:t>
      </w:r>
    </w:p>
    <w:p>
      <w:r>
        <w:t>FR: GE_GERICHTE ATAS/751/2014 du 19 juin 2014</w:t>
      </w:r>
    </w:p>
    <w:p>
      <w:r>
        <w:t>IT: GE_GERICHTE ATAS/751/2014 del 19 giugno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ou de la 4ème révision de la LAI (voir ATF 130 V 343).</w:t>
      </w:r>
    </w:p>
    <w:p>
      <w:r>
        <w:rPr>
          <w:b/>
        </w:rPr>
        <w:t>E. 3</w:t>
      </w:r>
    </w:p>
    <w:p>
      <w:r>
        <w:t>Le recours interjeté respectant les forme et délai prévus par la loi (art. 56 à 60 LPGA), il y a lieu de le déclarer recevable.</w:t>
      </w:r>
    </w:p>
    <w:p>
      <w:r>
        <w:t>A/2328/2013 - 7/15 -</w:t>
      </w:r>
    </w:p>
    <w:p>
      <w:r>
        <w:rPr>
          <w:b/>
        </w:rPr>
        <w:t>E. 4</w:t>
      </w:r>
    </w:p>
    <w:p>
      <w:r>
        <w:t>Le litige porte sur la question de savoir si l'état de santé de l'assurée s'est aggravé depuis la décision initiale du 15 juin 2009 au point de lui ouvrir désormais droit à des prestations de l’assurance-invalidité.</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w:t>
      </w:r>
    </w:p>
    <w:p>
      <w:r>
        <w:t>A/2328/2013 - 8/15 -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w:t>
      </w:r>
    </w:p>
    <w:p>
      <w:r>
        <w:t>A/2328/2013 - 9/15 - 318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A/2328/2013 - 10/15 - sociales, il y a lieu toutefois de poser des exigences sévères quant à l'impartialité de l'expert (ATF 125 V 353 consid. 3b/ee, ATFA non publié du 13 mars 2000, I 592/99, consid. b/ee).</w:t>
      </w:r>
    </w:p>
    <w:p>
      <w:r>
        <w:rPr>
          <w:b/>
        </w:rPr>
        <w:t>E. 10</w:t>
      </w:r>
    </w:p>
    <w:p>
      <w:r>
        <w:t>On ajoutera enfin que, d'après une jurisprudence constante du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ATF non publié 9C_395/2007 du 15 avril 2008, consid. 2.2).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 non publié 9C_72/2012 du 21 août 2012, consid. 3 ; ATF non publié 9C_395/2007 du 15 avril 2008,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t>A/2328/2013 - 11/15 -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du 15 avril 2008, consid. 2.4).</w:t>
      </w:r>
    </w:p>
    <w:p>
      <w:r>
        <w:rPr>
          <w:b/>
        </w:rPr>
        <w:t>E. 11</w:t>
      </w:r>
    </w:p>
    <w:p>
      <w:r>
        <w:t>En l’espèce, l’intimé ayant admis qu’une aggravation de l’état de santé de l’assurée avait été rendue plausible depuis sa décision initiale, il n’y a pas lieu d’y revenir ici. Reste à examiner si cette modification des circonstances se traduit par une ouverture du droit aux prestations. La recourante soutient en effet que sa capacité de travail serait nulle en raison de ses troubles psychiques. Il convient dès lors de déterminer si la toxicomanie dont souffre la recourante est la conséquence d’une atteinte à la santé physique ou mentale ayant valeur de maladie ou si elle a provoqué une atteinte à la santé invalidante. Pour trancher ce point, il convient de se baser sur les avis médicaux et, par voie de conséquence, d'évaluer en tout premier lieu s'il faut suivre ou non les conclusions des experts psychiatres. Les Drs G______ et H______ se sont livrés à une anamnèse détaillée dont il ressort qu’en juin 2009, après l’expertise du Dr D______, l’assurée avait fait un bref passage aux urgences psychiatriques en raison d’une recrudescence d’insomnie et d’anxiété, suite à une rupture de traitement. Le diagnostic de trouble de l’adaptation avec prédominance d’une perturbation d’autres émotions avait alors été retenu. Depuis lors, l’assurée était suivie par le Dr E______. Ce suivi était motivé par l’importance des troubles du comportement. Le diagnostic de troubles mentaux et troubles du comportement liés à l’utilisation de benzodiazépines et hypnotiques, trouble dépressif récurrent épisode sévère et troubles de la personnalité sans précision avaient été posés. En juillet 2009, l’assurée avait été hospitalisée une semaine suite à un abus médicamenteux à but suicidaire dans le contexte d’un trouble dépressif récurrent épisode moyen. De juillet 2009 à mars 2010, l’assurée avait été suivie par le service d’addictologie des HUG. En juin 2010, elle avait fait un bref passage aux urgences psychiatriques en raison d’un abus médicamenteux dans le contexte d’un conflit de couple et d’un trouble dépressif sévère sans symptôme psychotique. En octobre 2010, elle avait été hospitalisée en raison d’une recrudescence des idées suicidaires consécutive à des conflits conjugaux et à la péjoration de sa situation sociale. Le trouble dépressif récurrent avait alors été qualifié de moyen.</w:t>
      </w:r>
    </w:p>
    <w:p>
      <w:r>
        <w:t>A/2328/2013 - 12/15 - Les experts ont retenu les diagnostics de trouble dépressif récurrent épisode moyen présent depuis 2004, de dysthymie depuis 2002 et de troubles mentaux et troubles du comportement liés à l’utilisation de sédatifs ou d’hypnotiques, syndrome de dépendance, diagnostiqués pour la première fois en 2009. Leur rapport a été établi en pleine connaissance du dossier médical de la recourante et sur la base d’observations approfondies et d’investigations complètes. Par ailleurs, dans leur rapport complété le 27 novembre 2012, les experts ont motivé de manière convaincante leurs conclusions quant à la capacité de travail de la recourante, de telle sorte que leur rapport doit se voir reconnaître pleine valeur probante. Les experts ont expliqué que si l’état dépressif était certes invalidant, il était clairement aggravé par la consommation abusive et chronique d’hypnotiques et de sédatifs : cette consommation avait un effet dépressogène à long terme et pouvait également contribuer à l’apparition des symptômes dépressifs plus marqués ayant donné lieu à des épisodes dépressifs francs. Cette dépendance provoquait en outre des altérations importantes de la concentration, de la mémoire et de l’attention, ainsi qu’un fort ralentissement psychomoteur, diminuant considérablement le rendement et, par conséquent, rendant une activité professionnelle très difficile et dangereuse. Les experts ont souligné que c’était bel et bien le problème de dépendance qui occupait une place principale et rendait toute activité professionnelle inenvisageable. Ils ont précisé qu’un traitement était exigible de la part de l’assurée. Les experts ont retenu à titre de limitations : un trouble de la concentration et de l’attention, un manque de motivation, un ralentissement psychomoteur, une fatigabilité, une tristesse, une irritabilité et une somnolence. Les troubles de l’attention et de la concentration étaient liés en partie à un état dysthymique mais aggravés de manière importante par la consommation chronique et abusive d’hypnotiques et de sédatifs ; ils rendaient dangereuse la reprise d’une activité professionnelle (risque non négligeable d’accidents). Quant au ralentissement psychomoteur marqué, induit par l’abus des hypnotiques et sédatifs, il augmentait considérablement le temps d’action nécessaire pour effectuer une tâche. Enfin les troubles du sommeil augmentaient la fatigabilité diurne déjà importante en lien avec la consommation abusive précédemment décrite. En conclusion, les experts ont estimé que tant que l’assurée continuerait à consommer, sa capacité résiduelle de travail serait nulle. En revanche, une abstinence complète pourrait améliorer la thymie et diminuer l’intensité des symptômes dépressifs, augmenter considérablement l’attention et la concentration et diminuer le ralentissement psychomoteur de telle sorte que le rendement pourrait être augmenté.</w:t>
      </w:r>
    </w:p>
    <w:p>
      <w:r>
        <w:t>A/2328/2013 - 13/15 - Sur ce dernier point, les experts ont précisé le 27 novembre 2012 que, sans cette dépendance, l’épisode dépressif serait moins invalidant, d’intensité légère à moyenne. En effet, la fatigabilité et la somnolence diurne, ainsi que les troubles de concentration et de l’attention seraient diminués. Selon eux, en l’absence de la dépendance aux hypnotiques et sédatifs, la capacité de travail se situerait autour de 60% et pourrait augmenter progressivement à 100%, si une prise en charge psychopharmacologique et psychothérapeutique était mise en place. Les experts se sont ainsi livrés à l’appréciation globale préconisée par la jurisprudence, en tenant compte d'une éventuelle interaction entre dépendance et comorbidité psychiatrique. De leurs constatations, il ressort que la comorbidité psychiatrique à l'origine de la dépendance ne présente pas, en l’occurrence, un degré de gravité et d'acuité suffisant pour justifier, en elle-même, une diminution de la capacité de travail et de gain supérieure à 40% et qu’elle n’était pas de nature à entraîner l'émergence d'une telle dépendance. Il ressort clairement du rapport des experts qu’en l’espèce, la majeure partie des symptômes psychiatriques est induite, c'est-à-dire secondaire à la prise de toxiques. A cet égard, les experts ont d’ailleurs jugé que la plupart des symptômes s'amenderaient spontanément par l'arrêt de la consommation dans les semaines suivant le sevrage. L’avis contraire du psychiatre traitant ne saurait suffire à s’écarter des conclusions des experts. En effet, le Dr E______ n’apporte aucun élément médical objectif permettant de faire douter de leurs conclusions. Il se contente d’émettre une hypothèse - que rien ne vient étayer en l’état - selon laquelle l’abstinence de sa patiente conduirait à une péjoration de son état, se limitant ainsi à substituer sa propre appréciation à celle des experts. Il n’y a dès lors pas là matière à mettre sur pied une nouvelle expertise. La Cour de céans suivra donc les conclusions des experts psychiatres.</w:t>
      </w:r>
    </w:p>
    <w:p>
      <w:r>
        <w:rPr>
          <w:b/>
        </w:rPr>
        <w:t>E. 12</w:t>
      </w:r>
    </w:p>
    <w:p>
      <w:r>
        <w:t>Selon la jurisprudence, si l'examen médical conduit à la conclusion que la dépendance est seule déterminante du point de vue de l'assurance-invalidité, il n'y a pas lieu de distinguer entre les différentes atteintes à la santé (cf. supra). Tel n’est cependant pas le cas en l’espèce puisque les experts ont conclu, - toxicomanie mise à part - à une capacité limitée à 60%. Certes, ils ont envisagé la possibilité que cette capacité puisse être augmentée à 100%, mais ont conditionné cette éventualité au succès du traitement, circonstance sur laquelle on ne saurait d’ores et déjà compter. Il ressort en effet du rapport d’expertise que l'augmentation de la capacité résiduelle de travail ne pourra advenir sans, ni avant, la mise en œuvre d'un traitement efficace et bien conduit, lequel constitue donc une condition sine qua non pour permettre à l'assurée d'accroître sa capacité fonctionnelle. En principe, il n'est pas admissible de déterminer le degré d'invalidité sur la base de la simple évaluation médico-théorique de la capacité de travail de la personne assurée, car cela reviendrait à déduire de manière abstraite le degré d'invalidité de</w:t>
      </w:r>
    </w:p>
    <w:p>
      <w:r>
        <w:t>A/2328/2013 - 14/15 - l'incapacité de travail, sans tenir compte de l'incidence économique de l'atteinte à la santé (ATF 114 V 310 consid. 3 p. 312; voir également arrêts U 85/95 du 7 septembre 1995 consid. 3b, in RAMA 1996 n° U 237 p. 36 et I 472/98 du 28 juillet 1999 consid. 3b). Les revenus avec et sans invalidité doivent être évalués avant tout en fonction de la situation professionnelle concrète de la personne assurée. En l’occurrence, cependant, dans la mesure où l’activité habituelle reste envisageable, le degré d'invalidité se confond avec celui de l'incapacité de travail, sous réserve d'une éventuelle réduction du revenu d'invalide afin de tenir compte de l'ensemble des circonstances personnelles et professionnelles du cas particulier (arrêt I 1/03 du 15 avril 2003 consid. 5.2) qui ne se justifie pas en l’occurrence. En conséquence, la recourante doit se voir reconnaître un degré d’invalidité de 40% ouvrant droit à un quart de rente dès juin 2010 (soit six mois après le dépôt de la nouvelle demande), étant précisé que si, à l'issue d'une période d'abstinence suffisante, il devait y avoir suffisamment d’éléments pour retenir l'existence d’une atteinte psychique plus invalidante, il sera loisible à la recourante de déposer une nouvelle demande. En ce sens, le recours est admis. La recourante, qui est représentée et qui obtient partiellement gain de cause, a droit à une indemnité de CHF 2'500.- à titre de participation à ses frais et dépens (art. 61 let. g LPGA). Etant donné que, depuis le 1er juillet 2006, la procédure n'est plus gratuite (art. 69 al. 1bis LAI), au vu du sort du recours, il y a lieu de condamner l'intimé au paiement d'un émolument de CHF 200.-.</w:t>
      </w:r>
    </w:p>
    <w:p>
      <w:r>
        <w:t>A/2328/2013 - 15/15 -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