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ATAS/750/2022 vom 30. August 2022</w:t>
      </w:r>
    </w:p>
    <w:p>
      <w:r>
        <w:t>GE Cour de justice, 2022-08-30, FR</w:t>
      </w:r>
    </w:p>
    <w:p>
      <w:r>
        <w:rPr>
          <w:b/>
        </w:rPr>
        <w:t xml:space="preserve">Quelle: </w:t>
      </w:r>
      <w:r>
        <w:t>https://mcp.opencaselaw.ch/entscheid/ge_gerichte_ATAS_750_2022</w:t>
      </w:r>
    </w:p>
    <w:p>
      <w:r>
        <w:t>FR: GE_GERICHTE ATAS/750/2022 du 30 août 2022</w:t>
      </w:r>
    </w:p>
    <w:p>
      <w:r>
        <w:t>IT: GE_GERICHTE ATAS/750/2022 del 30 agosto 2022</w:t>
      </w:r>
    </w:p>
    <w:p>
      <w:pPr>
        <w:pStyle w:val="Heading2"/>
      </w:pPr>
      <w:r>
        <w:t>Erwägungen</w:t>
      </w:r>
    </w:p>
    <w:p>
      <w:r>
        <w:rPr>
          <w:b/>
        </w:rPr>
        <w:t>E. 31</w:t>
      </w:r>
    </w:p>
    <w:p>
      <w:r>
        <w:t>octobre 2020, le revenu hypothétique de l’intéressée avait été additionné à celui de son compagnon (CHF 4'065.30 + CHF 14'519.90 = CHF 18'585.40). En revanche, il avait été séparé de ce dernier dès le mois de novembre 2020 et s’élevait alors à CHF 19'793.50. l. Après avoir transmis ce courrier à l’intéressée, la cause a été gardée à juger. EN DROIT 1.</w:t>
      </w:r>
    </w:p>
    <w:p>
      <w:r>
        <w:t>1.1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Sa compétence pour juger du cas d’espèce est ainsi établie.</w:t>
      </w:r>
    </w:p>
    <w:p>
      <w:r>
        <w:t>A/3355/2021 - 7/13 - 1.2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 partie générale du droit des assurances sociales du 6 octobre 2000 (LPGA - RS 830) ainsi que ses dispositions d'exécution (let. c). 1.3 Le 1er janvier 2021 est entrée en vigueur la modification du 21 juin 2019 de la LPGA. Interjeté dans les formes et les délais légaux, le recours est recevable (art. 56 al. 1, 60 et 61 let. b LPGA ; art. 43 LPCC). 2. Le litige porte sur le droit de la recourante à des prestations complémentaires cantonales familiales dès le 1er octobre 2020 jusqu’au 31 décembre 2020, dans la mesure où la décision sur opposition par laquelle le droit à de telles prestations a été nié comportait les plans de calcul des mois d’octobre à décembre 2020. 2.1 Selon l'art. 1 al. 2 LPCC, les familles avec enfant(s) ont droit à un revenu minimum cantonal d'aide sociale, qui leur est garanti par le versement de prestations complémentaires cantonales pour les familles. 2.2 À teneur de l'art. 36A LPCC (titre IIA), ont droit aux prestations complémentaires familiales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ne font pas l'objet d'une taxation d'office par l'administration fiscale cantonale (let. d) et répondent aux autres conditions prévues par la LPCC (let. e). 2.3 L'art 36D LPCC stipule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2.4 Lorsqu'un ayant droit ou un membre du groupe familial renonce à des éléments de revenus ou renonce à faire valoir un droit à un revenu, il est tenu compte d'un revenu hypothétique, conformément à l'art. 11 al. 1 let. g LPC (art. 19 al. 1 RPCFam).</w:t>
      </w:r>
    </w:p>
    <w:p>
      <w:r>
        <w:t>A/3355/2021 - 8/13 - 2.5 En vertu de l'art. 36E LPCC, le revenu déterminant est calculé conformément à l'art. 11 LPC, moyennant les adaptations suivantes : a) les ressources en espèces ou en nature provenant de l'exercice d'une activité lucrative sont intégralement prises en compte; b) le revenu déterminant est augmenté d'un cinquième de la fortune calculée en application de l'art. 7 de la présente loi; c) les bourses d'études et autres aides financières destinées à l'instruction sont prises en compte; d) les ressources de l'enfant ou de l'orphelin à charge provenant de l'exercice d'une activité lucrative régulière sont prises en compte à raison de 50% (al. 1).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LPC (al. 3). 2.6 L’art. 18 al. 1 RPCFam précise s’agissant du gain hypothétique des personnes considérées comme exerçant une activité lucrative salariée qu’il est déterminé selon le gain et le taux d'activité réalisés avant la perception des indemnités pour perte de gain définies aux articles 36A, alinéa 5, de la loi, et 10, alinéa 1, du présent règlement. Si le taux d'activité réalisé avant la perception des indemnités pour perte de gain n'atteint pas les taux fixés à l'article 36A, alinéa 4, de la loi, le taux moyen des 6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2.7 Le revenu minimum cantonal d'aide sociale garanti aux familles, destiné à la couverture des besoins vitaux, est basé sur le montant fixé à l'article 3 al. 1 LPCC (art. 36B al. 1 LPCC). Ce montant est multiplié, selon le nombre de personnes comprises dans le groupe familial, par le coefficient prévu par la législation sur l'aide sociale individuelle et fixé par règlement du Conseil d'Etat (art. 36B al. 2 LPCC). 2.8 L’art. 20 al. 1 RPCFam (état au 31 décembre 2020) prévoit que le montant destiné à couvrir les besoins vitaux s’élèvent à CHF 25'873.- et est multiplié par 2.14 pour une famille de quatre personnes, soit un montant arrondi à CHF 55'370.- (respectivement par 1.53 pour un couple). 2.9 Selon l'art. 21 al. 1 RPCFam, le loyer et les charges locatives sont pris en compte, par année, jusqu'à concurrence des montants maximaux suivants : CHF 19'800.- pour un adulte avec deux enfants, ainsi que pour un couple avec deux enfants.</w:t>
      </w:r>
    </w:p>
    <w:p>
      <w:r>
        <w:t>A/3355/2021 - 9/13 - 2.10 L’art. 23 al. 1 let. c RPCFam prévoit que pour la fixation de la prestation complémentaire annuelle, est déterminant l’état de fortune au 1er janvier de l’année pour laquelle la prestation est versée. 2.11 S'agissant des prestations complémentaires familiales, ce sont la LPCC et le règlement relatif aux prestations complémentaires familiales du 27 juin 2012 (RPCFam - J 4 25.04) qui s'appliquent. La LIASI et le RIASI s'appliquent uniquement pour déterminer le droit à l'aide sociale et les décisions rendues par le SPC à ce sujet peuvent faire l'objet d'un recours auprès de la chambre administrative de la Cour de justice (ATAS/888/2019 du 19 septembre 2019). 2.12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2.13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U 344 p. 418 consid. 3). 3. En l’espèce, la recourante remet vainement en cause le calcul opéré par l’intimé en opposant ses revenus et charges effectives aux dépenses et aux revenus reconnus par l’intimé dans les plans de calcul annexés à la décision contestée. 3.1 En effet, les besoins d’une famille de quatre personnes ne se déterminent pas sur la base des charges effectives, mais conformément à la législation en vigueur, laquelle prévoit un forfait pour les besoins vitaux de la famille et un plafond pour le loyer. Le montant des besoins vitaux de la famille retenus dans la décision attaquée est conforme au règlement en vigueur pour une famille de quatre personnes, à savoir un montant de CHF 25'874.- (art. 20 al. 1 RPCFam) multiplié par 2.14 (art. 20 al.</w:t>
      </w:r>
    </w:p>
    <w:p>
      <w:r>
        <w:t>A/3355/2021 - 10/13 - 2 let. c pour quatre personne), arrondi à CHF 55'370.-. Le montant du loyer est également conforme au droit, lequel prévoit un plafond de CHF 19’800.- (art. 21 al. 1 RPCFam). Il est sans incidence sur le calcul des dépenses de savoir si en l’espèce la recourante a ou non droit à une allocation logement, dans la mesure où le plafond autorisé pour le loyer est largement atteint indépendamment d’une telle allocation. L’on ne peut retenir des charges et un loyer qui excèdent les forfaits et plafonds fixés par la loi. Les charges courantes de la famille font partie du forfait pour les besoins vitaux de la famille et ne peuvent pas être ajoutées à celui-ci, conformément à la législation sur les prestations complémentaires familiales et au principe d’égalité de traitement entre les bénéficiaires de prestations. Le grief de la recourante selon lequel le SPC aurait dû prendre en compte toutes les charges effectives de la famille est infondé. Le montant des primes d’assurance annuel de CHF 17'880.- n’est pas contesté, la recourante ayant d’ailleurs annoncé des primes totales moindre dans sa demande, soit au total CHF 13'115.40 pour les quatre membres de la famille. 3.2 Quant aux revenus déterminants, l’intimé a pris en compte, dans le calcul des revenus de la recourante, le montant figurant dans sa déclaration d’impôt (CHF 73'175.50) et a ajouté à ce montant un revenu hypothétique de CHF 4'065.30, dans la mesure où la recourante travaille à 90%. Cette façon de faire est conforme à la législation (supra : consid. 2.5 et 2.6). La recourante et son compagnon disposent d’ailleurs d’une pleine capacité de travail que l’un et l’autre sont tenus de mettre pleinement à profit. L’on rappellera à cet égard qu’il n'est pas tenu compte d'un gain hypothétique uniquement lorsque le groupe familial est constitué d'un seul adulte faisant ménage commun avec un enfant âgé de moins d'un an (art. 36E al. 5 LPCC), ce qui n’est pas le cas ici. Le calcul suivant : CHF 81'306.10 [le revenu de CHF 73'175.50 (90%) converti en 100%] – 73'175.50/2) = CHF 4'065.30 ne souffre en outre pas de critique. 3.3 Le SPC a retenu un revenu hypothétique annuel de CHF 14'519.90 pour le compte du compagnon de la recourante en sus d’un montant annualisé de CHF 5'273.- d’indemnités de chômage, ce qui représente un revenu global de CHF 19'792.90. Le SPC était fondé à retenir un revenu hypothétique, dans la mesure où l’on doit attendre du compagnon de la recourante qu’il mette à profit sa pleine capacité de travail. Le revenu hypothétique d’une personne sans activité lucrative a ainsi à juste titre été réduit du montant réellement perçu au début d’octobre 2020. 3.4 La recourante se plaint à tort de la prise en compte des indemnités de chômage perçues en octobre 2020. En effet, dans la mesure où ce revenu a été réalisé par son compagnon durant les deux premiers jours d’octobre, il correspond à un revenu que l’intimé devait prendre en compte.</w:t>
      </w:r>
    </w:p>
    <w:p>
      <w:r>
        <w:t>A/3355/2021 - 11/13 - Cela étant, même sans ajouter l’indemnité de chômage reçue au revenu hypothétique, le revenu déterminant du couple (CHF 73'175.50 + 4'065.30 + 14’519.90 + 7'200.- + 16.85 = CHF 98'977.55 en octobre 2020) excèderait les dépenses reconnues (de CHF 93'050.-) et la recourante ne pourrait pas prétendre à des prestations complémentaires familiales pour octobre 2020. 3.5 Il en va de même en novembre 2020. En effet, le revenu hypothétique pour un conjoint sans activité lucrative s’élevait pour le conjoint de la recourante à CHF 19’793.60 (soit [CHF 25'874.- x 1.53] /2 = CHF 39'585.70 /2), dès novembre 2020, dans la mesure où ce dernier n’avait plus d’activité ni de droit au chômage. À ce montant doit s’ajouter le revenu hypothétique que la recourante pourrait gagner en travaillant à plein temps, de sorte que les revenus du couple (CHF 100'185.20) excèdent à nouveau les besoins admis. 3.6 Force est enfin de constater s’agissant de la fortune que seuls les intérêts de la fortune annoncée par la recourante ont été pris en compte dans le calcul des ressources, soit CHF 16.85. La recourante ne saurait remettre en compte ce montant, dans la mesure où elle l’a précisément annoncé et qu’il ressort de ses relevés bancaires. Par ailleurs, le montant figurant à titre de fortune dans la décision initiale est conforme aux extraits de comptes bancaires de la recourante, de son compagnon et de leurs filles au 1er janvier 2020 comme le prévoit la loi (consid. 2.10). L’actualisation à laquelle a procédé le SPC au 30 septembre 2020 n’a par ailleurs eu aucune incidence sur le plan de calcul, la fortune ne figurant pas dans les revenus retenus. Il n’y a enfin aucun fondement qui justifierait de prendre en compte les avoirs inférieurs figurant sur les quelques extraits de comptes de la recourante pour le mois d’août 2020, alors que cette dernière a déposé sa demande de prestations le 20 octobre 2020 en y joignant ses extraits plus récents du 30 septembre 2020. Ses griefs quant à sa fortune sont infondés. 4. La recourante sollicite la prise en charge par le SPC des frais de soutien scolaire. Sur ce point également le recours est infondé. En effet, à teneur de la loi (art. 36G LPCC), seuls les bénéficiaires de prestations complémentaire familiales peuvent prétendre au remboursement des frais de garde d’enfant et de soutien scolaire. À défaut de pouvoir mettre la recourante au bénéfice de telles prestations, l’intimé était forcé de nier le droit au remboursement des frais de soutien scolaire. 5. Quant au déni de justice, l’on rappellera que pour ce qui est des délais applicables à la reddition d'une décision sur opposition, l'art. 52 al. 2 LPGA, mis en oeuvre par l'art. 42 al. 4 LPCC, prévoit notamment que la décision sur opposition du SPC doit être rendue dans un délai approprié. De manière générale, l'art. 29 al. 1er de la Constitution fédérale de la Confédération suisse (Cst.) dispose que toute personne a droit, dans une procédure judiciaire ou administrative, à ce que sa cause soit traitée équitablement et jugée dans un délai raisonnable.</w:t>
      </w:r>
    </w:p>
    <w:p>
      <w:r>
        <w:t>A/3355/2021 - 12/13 - 6.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le comportement de l'autorité compétente (ATF 124 I 139 consid. 2c ; 119 Ib 311 consid. 5b p. 325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administrative (HAEFLIGER/SCHÜRMANN, Die Europäische Menschenrechtskonvention und die Schweiz, Berne 1999, pp.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En l’occurrence, la demande de prestations faite le 20 octobre 2020 a été traitée promptement, soit le 26 novembre 2020. Le SPC a ensuite statué sur l’opposition reçue le 17 décembre 2020 par décision du 31 août 2021. C’est contre cette décision que la recourante a saisi la chambre de céans. Ce délai de huit mois ne paraît pas déraisonnable, la recourante n’ayant par ailleurs pas invité l’autorité à faire diligence durant ledit délai. En toute hypothèse, la décision sur opposition ayant finalement été rendue, la recourante n'a plus d'intérêt juridique à ce qu’un éventuel déni de justice soit constaté. Sa conclusion sur ce point est donc sans objet. 7. Le recours étant mal fondé, la chambre de céans ne peut que le rejeter. 8. Pour le surplus, la procédure est gratuite (art. 61 let. fbis a contrario LPGA et 89H al. 4 LPA).</w:t>
      </w:r>
    </w:p>
    <w:p>
      <w:r>
        <w:t>A/3355/2021 - 13/13 -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