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ATAS/750/2008 vom 25. Juni 2008</w:t>
      </w:r>
    </w:p>
    <w:p>
      <w:r>
        <w:t>GE Cour de justice, 2008-06-25, FR</w:t>
      </w:r>
    </w:p>
    <w:p>
      <w:r>
        <w:rPr>
          <w:b/>
        </w:rPr>
        <w:t xml:space="preserve">Quelle: </w:t>
      </w:r>
      <w:r>
        <w:t>https://mcp.opencaselaw.ch/entscheid/ge_gerichte_ATAS_750_2008</w:t>
      </w:r>
    </w:p>
    <w:p>
      <w:r>
        <w:t>FR: GE_GERICHTE ATAS/750/2008 du 25 juin 2008</w:t>
      </w:r>
    </w:p>
    <w:p>
      <w:r>
        <w:t>IT: GE_GERICHTE ATAS/750/2008 del 25 giugno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a) En vertu de l'art. 60 al. 1 LPGA, le recours doit être déposé dans les 30 jours suivant la notification de la décision sujette à recours. Aux termes de l'art. 40 al. 1 LPGA, le délai légal ne peut pas être prolongé.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(ATFA non publié du 2 mars 2000, C 387/99; consid. 1). La preuve de la notification d'un acte peut néanmoins résulter d'autres indices ou de l'ensemble des circonstances, en particulier de la correspondance échangée ou de l'absence de protestation de la part d'une personne qui reçoit des rappels (cf. ATF 105 III 46 consid. 3; DTA 2000 n° 25 p. 121 consid. 1b, ATFA non publié du 21 janvier 2003, C 6/02, consid. 3.2). b) En l'espèce, l'intimée est dans l'impossibilité d'établir la date de distribution de la décision dont est recours. Partant, il y a lieu de se fonder sur les déclarations du recourant, respectivement de son mandataire, selon lequel il l'a reçue le 12 novembre 2007. Il convient ainsi de constater que le recours déposé le 11 décembre 2007 a été interjeté dans le délai légal de 30 jours. Il respecte également la forme</w:t>
      </w:r>
    </w:p>
    <w:p>
      <w:r>
        <w:t>A/4906/2007 - 8/12 - prescrite par la loi (art. 61 LPGA et art. 89B de la loi sur la procédure administrative du 12 septembre 1985). Par conséquent, il est recevable.</w:t>
      </w:r>
    </w:p>
    <w:p>
      <w:r>
        <w:rPr>
          <w:b/>
        </w:rPr>
        <w:t>E. 3</w:t>
      </w:r>
    </w:p>
    <w:p>
      <w:r>
        <w:t>Est litigieuse en l'espèce la question de savoir si la laminectomie cervicale pratiquée par le Dr H________ est à la charge de l'assurance-accidents obligatoire.</w:t>
      </w:r>
    </w:p>
    <w:p>
      <w:r>
        <w:rPr>
          <w:b/>
        </w:rPr>
        <w:t>E. 4</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w:t>
      </w:r>
    </w:p>
    <w:p>
      <w:r>
        <w:t>A/4906/2007 - 9/12 - existait immédiatement avant l'accident (statu quo ante) ou à celui qui serait survenu même sans l'accident par suite d'un développement ordinaire (statu quo sine; cf. RAMA 1992 no U 142 p. 75 consid. 4b; Frésard/Moser-Szeless, op. cit., no 80 p. 865).</w:t>
      </w:r>
    </w:p>
    <w:p>
      <w:r>
        <w:rPr>
          <w:b/>
        </w:rPr>
        <w:t>E. 5</w:t>
      </w:r>
    </w:p>
    <w:p>
      <w:r>
        <w:t>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w:t>
      </w:r>
    </w:p>
    <w:p>
      <w:r>
        <w:rPr>
          <w:b/>
        </w:rPr>
        <w:t>E. 6</w:t>
      </w:r>
    </w:p>
    <w:p>
      <w:r>
        <w:t>En l'espèce, il n'est pas contesté que le canal rachidien rétréci au niveau cervical, sous forme d'une arthrose pluriétagée, est préexistant à l'accident, mais qu'il était asymptomatique avant celui-ci. Les médecins ont également constaté que le syndrome médullaire aigu était une conséquence de l'accident et qu'il a décompensé un état antérieur. L'expert et les autres médecins consultés admettent ainsi un lien de causalité entre les douleurs neuropathiques et l'accident. Par ailleurs, il ressort de l'expertise du Dr E________ qu'un nouveau traumatisme pourrait occasionner une tétraplégie. Une laminectomie pourrait prévenir une telle conséquence. La Dresse C_________ a en outre considéré, dans son rapport du 12</w:t>
      </w:r>
    </w:p>
    <w:p>
      <w:r>
        <w:t>A/4906/2007 - 10/12 - février 2007, qu'un certain degré de compression subsistait probablement qui justifiera éventuellement une intervention chirurgicale de décompression. Cela étant, il convient de constater que l'accident a provoqué une fragilisation importante de la colonne cervicale. Cette fragilisation doit être considérée comme une atteinte supplémentaire au canal rachidien rétréci et distinguée de celui-ci. Par ailleurs, si le recourant était certes déjà fragilisé avant son accident du fait du rétrécissement du canal rachidien, il ne l'était pas dans cette mesure. En effet, les conséquences d'un nouveau choc, voire d'un accident similaire à celui qui s'est produit, pourraient être beaucoup plus préjudiciables qu'auparavant, le recourant risquant maintenant une tétraplégie selon l'expert. Un lien de causalité naturelle est par conséquent également à admettre entre cette fragilisation et l'accident.</w:t>
      </w:r>
    </w:p>
    <w:p>
      <w:r>
        <w:rPr>
          <w:b/>
        </w:rPr>
        <w:t>E. 7</w:t>
      </w:r>
    </w:p>
    <w:p>
      <w:r>
        <w:t>Au vu de ce qui précède, il convient d'examiner si l'opération litigieuse doit être considérée comme un traitement médical approprié des lésions résultant de l'accident. Selon l'art. 10 al. 1 let. c LAA, l'assuré a droit au traitement médical approprié des lésions résultant de l'accident, soit notamment au traitement, à la nourriture et au logement en salle commune dans un hôpital. Le droit au traitement médical existe aussi longtemps qu'on peut en attendre une amélioration sensible de l'état de santé de l'assuré (art. 19 al. 1 LAA a contrario; ATF 116 V 44 consid. 2c; ATFA non publié du 23 mars 2000, U 378/99 consid. 3a et les références). Le traitement médical n'est pas seulement limité aux mesures destinées au rétablissement, mais comprend toutes les mesures qui visent à une amélioration de l'état de santé ou à éviter une péjoration de cet état. Le but du traitement médical est d'éliminer de la manière la plus complète que possible les atteintes à la santé physique ou psychique (ATF 121 V 306 consid. 5 b page 305 s.). Même les mesures coûteuses doivent être prises en charge, lorsqu'il n'y pas d'autre méthodes de traitement plus économiques et que le coût de la mesure est acceptable en vertu du principe de la proportionnalité (ATF 114 V 265 consid. 4 c/cc). Sont également prises en charge les mesures médicales qui ont pour but l'élimination d'autres atteintes secondaires dues à l'état, notamment pour corriger les altérations externes de certaines parties du corps, pour autant qu'elles aient une certaine ampleur (ATF 121 V 121 consid. 1; Jean-Maurice Frésard, L'assurance-accidents obligatoire, dans Schweizerisches Bundesverwaltungsrecht, 1998, page 29, chiffre 61).</w:t>
      </w:r>
    </w:p>
    <w:p>
      <w:r>
        <w:rPr>
          <w:b/>
        </w:rPr>
        <w:t>E. 8</w:t>
      </w:r>
    </w:p>
    <w:p>
      <w:r>
        <w:t>En l'occurrence, en ce qui concerne les douleurs, l'expert suppose que l'intervention litigieuse n'aura éventuellement aucun effet sur les plaintes résiduelles du recourant, sans toutefois l'exclure. Il admet cependant qu'il est légitime d'envisager toutes les possibilités de traitement du syndrome douloureux chronique, y compris une intervention neurochirurgicale. Dès lors, il ne semble pas clairement établi que</w:t>
      </w:r>
    </w:p>
    <w:p>
      <w:r>
        <w:t>A/4906/2007 - 11/12 - l'opération se justifie pour atténuer la symptomatologie douloureuse, une amélioration sensible de celle-ci paraissant relativement aléatoire. Toutefois, cette question peut rester ouverte, au vu de ce qui suit. En effet, les médecins consultés n'ont pas mis en doute que l'intervention chirurgicale effectuée rendra la colonne cervicale du recourant plus résistante à de nouveaux chocs et permettra ainsi d'éviter que ceux-ci provoquent des conséquences extrêmement graves. Il sied dès lors d'admettre que l'opération en cause permet de corriger une fragilité de l'état de santé provoquée par l'accident et de la corriger de manière sensible. Aucun des médecins n'a en outre fait état d'un traitement plus économique que la laminectomie effectuée. Partant, il y a lieu de constater que cette intervention remplit les critères de l'art. 10 al. 1 LAA.</w:t>
      </w:r>
    </w:p>
    <w:p>
      <w:r>
        <w:rPr>
          <w:b/>
        </w:rPr>
        <w:t>E. 9</w:t>
      </w:r>
    </w:p>
    <w:p>
      <w:r>
        <w:t>Au vu de ce qui précède, il convient d'admettre que l'intimée est tenue de prendre en charge les frais médicaux relatifs à l'intervention chirurgicale, dans les limites prescrites par la LAA, ainsi que les indemnités journalières pendant l'incapacité de travail qui a suivi.</w:t>
      </w:r>
    </w:p>
    <w:p>
      <w:r>
        <w:rPr>
          <w:b/>
        </w:rPr>
        <w:t>E. 10</w:t>
      </w:r>
    </w:p>
    <w:p>
      <w:r>
        <w:t>Le recourant obtenant gain de cause, une indemnité de 2'000 fr. lui est octroyée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