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ATAS/749/2025 vom 7. Oktober 2025</w:t>
      </w:r>
    </w:p>
    <w:p>
      <w:r>
        <w:t>GE Cour de justice, 2025-10-07, FR</w:t>
      </w:r>
    </w:p>
    <w:p>
      <w:r>
        <w:rPr>
          <w:b/>
        </w:rPr>
        <w:t xml:space="preserve">Quelle: </w:t>
      </w:r>
      <w:r>
        <w:t>https://mcp.opencaselaw.ch/entscheid/ge_gerichte_ATAS_749_2025</w:t>
      </w:r>
    </w:p>
    <w:p>
      <w:r>
        <w:t>FR: GE_GERICHTE ATAS/749/2025 du 7 octobre 2025</w:t>
      </w:r>
    </w:p>
    <w:p>
      <w:r>
        <w:t>IT: GE_GERICHTE ATAS/749/2025 del 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la forme et le délai prévus par la loi, compte tenu de la suspension des délais du 7e jour avant Pâques au 7e jour après Pâques inclusivement (art. 38 al. 4 let. a LPGA et art. 89C let. a LPA), le recours est recevable.</w:t>
      </w:r>
    </w:p>
    <w:p>
      <w:r>
        <w:rPr>
          <w:b/>
        </w:rPr>
        <w:t>E. 2.1</w:t>
      </w:r>
    </w:p>
    <w:p>
      <w:r>
        <w:t>Le 1er janvier 2022, les modifications de la LAI du 19 juin 2020 (développement continu de l’AI ; RO 2021 705) ainsi que celles du</w:t>
      </w:r>
    </w:p>
    <w:p>
      <w:r>
        <w:rPr>
          <w:b/>
        </w:rPr>
        <w:t>E. 2.2</w:t>
      </w:r>
    </w:p>
    <w:p>
      <w:r>
        <w:t>En l’occurrence, le droit à la rente d’invalidité est né postérieurement au 31 décembre 2021, de sorte que les dispositions légales applicables seront citées dans leur nouvelle teneur.</w:t>
      </w:r>
    </w:p>
    <w:p>
      <w:r>
        <w:rPr>
          <w:b/>
        </w:rPr>
        <w:t>E. 3</w:t>
      </w:r>
    </w:p>
    <w:p>
      <w:r>
        <w:t>Le litige porte sur la date de suppression de la rente d’invalidité octroyée à la recourante à compter du 1er décembre 2022, par décisions du 24 mars 2025.</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w:t>
      </w:r>
    </w:p>
    <w:p>
      <w:r>
        <w:rPr>
          <w:b/>
        </w:rPr>
        <w:t>E. 4.1</w:t>
      </w:r>
    </w:p>
    <w:p>
      <w:r>
        <w:t>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w:t>
      </w:r>
    </w:p>
    <w:p>
      <w:r>
        <w:t>A/1760/2025 - 11/19 -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w:t>
      </w:r>
    </w:p>
    <w:p>
      <w:r>
        <w:rPr>
          <w:b/>
        </w:rPr>
        <w:t>E. 4.2</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Dans</w:t>
      </w:r>
    </w:p>
    <w:p>
      <w:r>
        <w:t>A/1760/2025 - 12/19 - le domaine de l’assurance-invalidité, le point de départ d’une modification du droit aux prestations est fixé avec précision (arrêt du Tribunal fédéral I 806/04 du 15 mars 2005 consid. 2.2). 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(1e phrase de l'art. 88a al. 1 RAI) ; on attendra en revanche trois mois au cas où le caractère évolutif de l'atteinte à la santé, notamment la possibilité d'une aggravation, ne permettrait pas un jugement immédiat (2e phrase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et les références). En principe, un délai d'attente de trois mois doit être pris en compte lors d'une amélioration de la capacité de gain. Exceptionnellement, il peut être renoncé au délai d'attente de trois mois lorsqu'une amélioration était attendue depuis longtemps déjà (arrêt du Tribunal fédéral 8C_285/2020 du 15 septembre 2020 consid. 5.1 et les références). En cas de modification de la capacité de gain, la rente doit être supprimée ou réduite avec effet immédiat si la modification paraît durable et par conséquent stable (1e phrase de l'art. 88a al. 1 RAI) ; on attendra en revanche trois mois au cas où le caractère évolutif de l'atteinte à la santé, notamment la possibilité d'une aggravation, ne permettrait pas un jugement immédiat (2e phrase de la disposition ;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t>A/1760/2025 - 13/19 -</w:t>
      </w:r>
    </w:p>
    <w:p>
      <w:r>
        <w:rPr>
          <w:b/>
        </w:rPr>
        <w:t>E. 4.3</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4.4</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w:t>
      </w:r>
    </w:p>
    <w:p>
      <w:r>
        <w:t>A/1760/2025 - 14/19 -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A/1760/2025 - 15/19 -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w:t>
      </w:r>
    </w:p>
    <w:p>
      <w:r>
        <w:t>juillet 2022). La Dre D______ n’a pas constaté de contre-indication à une reprise professionnelle dans un autre poste étant donné le « mobbing subi » (cf. rapport du 23 juin 2023). Le Dr E______ avait préconisé un changement de cadre mettant l’intéressée « à l’abri » d’une personne qui représentait une « source</w:t>
      </w:r>
    </w:p>
    <w:p>
      <w:r>
        <w:t>A/1760/2025 - 17/19 - insurmontable de souffrance de type persécutoire et fortement déstabilisante sur le plan de son organisation psychique » (cf. rapport du 30 juin 2023). Enfin, le SMR s’est contenté d’effectuer une synthèse des pièces au dossier, au demeurant contestable puisqu’il n’a pas relevé que le Dr L______ avait expressément indiqué dans son rapport du 17 septembre 2024 que l’état de santé psychique était sable depuis le début de sa prise en charge.</w:t>
      </w:r>
    </w:p>
    <w:p>
      <w:r>
        <w:rPr>
          <w:b/>
        </w:rPr>
        <w:t>E. 5.1</w:t>
      </w:r>
    </w:p>
    <w:p>
      <w:r>
        <w:t>La chambre de céans rappelle tout d’abord que le Dr L______ a estimé que la personnalité de sa patiente se situait dans les limites de la norme et n’atteignait pas le seuil diagnostique d’un trouble. Il s’est ainsi distancé de l’évaluation de la Dre J______, qui avait diagnostiqué un trouble de la personnalité mixte obsessionnelle et des traits paranoïaques, réservé son pronostic en l’absence de médication et relevé que la recourante était anosognosique de ses difficultés (cf. rapport du 24 mai 2024), de celle du Dr K______, lequel avait retenu un trouble de la personnalité anankastique (cf. rapport du 23 avril 2024), et de celle de la Dre N______, qui avait conclu à un trouble de la personnalité mixte (cf. rapport du 5 juillet 2022). Il a en revanche rejoint le Dr E______, lequel n’avait pas non plus posé le diagnostic de trouble de la personnalité, mais retenu, entre autre, un trouble de l’adaptation, ainsi que des traits obsessionnels et des traits de perfectionnisme (cf. rapport du 30 juin 2023). Le Dr L______ a expliqué que les traits de personnalité anankastique, s’ils étaient présents, l’étaient en tous les cas depuis le début de l’âge adulte et n’entrainaient donc pas d’incapacité de travail dans un environnement adapté. Il a considéré, conformément aux dires de sa patiente, que l’incapacité de travail résultait exclusivement de l’environnement professionnel, en raison d’une exposition à du harcèlement moral et à une violence psychologique. Elle constate ensuite que les pièces du dossier n’établissent pas une amélioration de l’état de santé de la recourante, et partant de sa capacité de travail ou de gain, dans le courant du mois de septembre 2024. Au contraire, le seul médecin à avoir examiné l’intéressée à cette période est le Dr L______. Dans son rapport du 17 septembre 2024, le nouveau psychiatre traitant a expressément attesté d’une stabilité sur le plan psychique depuis le début de sa prise en charge, soit depuis le 28 mai 2024, ce qui exclut donc toute modification de l’état de santé à cette époque. Qu’il ait indiqué dans son dernier rapport que la recourante pourrait reprendre « immédiatement » le travail si l’opportunité lui en était donnée, la</w:t>
      </w:r>
    </w:p>
    <w:p>
      <w:r>
        <w:t>A/1760/2025 - 16/19 - seule condition posée étant un climat exempt de violence psychologique, ne signifie évidemment pas qu’une reprise n’aurait pas été possible antérieurement, dans un tel environnement. Puisque le SMR a entendu suivre les conclusions du psychiatre traitant, il aurait dû retenir que l’amélioration de l’état de santé était survenue au plus tard le 3 juin 2024, date à laquelle le Dr L______ a attesté d’une entière capacité de travail dans toute activité, pour autant que les droits de l’intéressée soient respectés. Rien ne justifiait de reporter cette date à celle de la reddition de son rapport au mois de septembre 2024.</w:t>
      </w:r>
    </w:p>
    <w:p>
      <w:r>
        <w:rPr>
          <w:b/>
        </w:rPr>
        <w:t>E. 5.2</w:t>
      </w:r>
    </w:p>
    <w:p>
      <w:r>
        <w:t>Les rapports de l’expert mandaté par l’employeur, du médecin du travail et du SMR ne permettent pas de douter des conclusions du Dr L______ quant à une pleine capacité de travail de la recourante dès le mois de juin 2024. Le Dr K______ a établi son rapport le 23 avril 2024, suite à un entretien avec l’intéressée le 25 mars 2024. Son examen ayant été réalisé plus de deux mois avant le début du suivi par le nouveau psychiatre traitant, il ne saurait remettre en cause l’évaluation de ce dernier, basée sus ses constats médicaux effectués en temps réel. En outre, les conclusions du Dr K______ parlent plutôt en défaveur de l’amélioration de la capacité de travail telle que retenue par l’intimé au mois de septembre 2024, puisque ce médecin avait subordonné une probable récupération de la capacité de travail dans un délai de six mois à la prise d’un traitement médicamenteux. Or, la recourante ne s’est pas soumise à un tel traitement. L’appréciation du Dr F______, qui a estimé au début du mois de mai 2024 que la recourante était définitivement inapte à sa fonction, ne permet pas d’exclure l’existence d’une pleine capacité de travail dans un cadre non conflictuel, hors de l’administration cantonale étant rappelé la prédominance d’aspects litigieux entre la recourante et l’employeur (cf. rapport final de l’intimé du 5 juillet 2024). C’est le lieu de souligner que cette entière capacité de travail est revendiquée par l’intéressée (cf. courriel du 24 juin 2024 de sa conseillère prenant bonne note que la recourante s’estimait en pleine capacité de travail et sollicitait la fin des mesures de réadaptation ; note de travail de l’intimé du 31 juillet 2024 mentionnant que la recourante avait sollicité la clôture de son dossier, dès lors que son psychiatre estimait qu’elle pouvait retravailler et qu’elle attendait son licenciement pour s’inscrire au chômage) et que tous les médecins traitants ont estimé que l’arrêt de travail était lié à l’environnement professionnel. À titre d’exemples, la Dre N______ avait relevé que la capacité de travail pourrait être totale dans un environnement moins stressant où l’employeur respecterait la règlementation en matière de santé et sécurité au travail (cf. rapport du</w:t>
      </w:r>
    </w:p>
    <w:p>
      <w:r>
        <w:rPr>
          <w:b/>
        </w:rPr>
        <w:t>E. 5.3</w:t>
      </w:r>
    </w:p>
    <w:p>
      <w:r>
        <w:t>La chambre de céans observera encore que plusieurs spécialistes ont constaté une amélioration des différentes troubles qui avaient justifié l’incapacité de travail dès le mois de septembre 2021, et ce dès le printemps 2024. Ainsi, l’épisode dépressif sévère sans symptômes psychotiques diagnostiqué par la Dre N______ (cf. rapport du 5 juillet 2022) n’a plus été retenu à titre de diagnostic par la Dre J______ (cf. rapport du 24 mai 2024) et M______ a indiqué qu’il était en rémission (cf. appréciation du 26 mai 2024). Le Dr K______ a par ailleurs confirmé que le trouble dépressif récurrent était bien en rémission lorsqu’il a établi son rapport du 23 avril 2024. Les migraines chroniques et les céphalées de tension chroniques qui avaient des répercussions sur la capacité de travail car elles étaient omniprésentes, et donc usantes et épuisantes (cf. rapport du 8 août 2022 de la Dre D______) ont évolué favorablement sous traitement. Dix mois plus tard, les migraines invalidantes n’étaient plus d’actualité et les céphalées de tension étaient tout à fait gérables. Demeuraient des épisodes compatibles avec des auras migraineuses, qui étaient peu fréquents, au caractère organique et non psychologique et pour lesquels le traitement devrait également fonctionner (cf. rapport du 23 juin 2023 de la Dre D______). La neurologue a constaté que l’évolution positive s’était poursuivie en dépit du stress professionnel et de l’arrêt des séances de physiothérapie mandibulaire, avec seulement un à deux épisodes de migraines par mois, rapidement contrôlés par la prise d’antalgiques mineurs, et des céphalées de tension anecdotiques (cf. rapport du 14 juin 2024 de la Dre D______-). Les troubles du sommeil attestés par la Dre N______ (cf. rapport du 5 juillet 2022) se sont également améliorés (cf. avis du 26 mai 2024 de M______). Les troubles de l’attention et de la concentration (cf. rapport du 5 juillet 2022 de la Dre N______) n’ont quant à eux pas été constatés ni retenus à titre de limitations fonctionnelles, que ce soit par le Dr K______ ou par le Dr L______.</w:t>
      </w:r>
    </w:p>
    <w:p>
      <w:r>
        <w:rPr>
          <w:b/>
        </w:rPr>
        <w:t>E. 5.4</w:t>
      </w:r>
    </w:p>
    <w:p>
      <w:r>
        <w:t>Eu égard à tout ce qui précède, la chambre de céans tiendra pour établi, au degré de la vraisemblance prépondérante requis, que la capacité de gain de la recourante s’est améliorée au mois de juin 2024, comme attesté par le Dr L______. La rente doit donc être supprimée au 30 septembre 2024, comme requis par la recourante, étant encore relevé que l’amélioration de l’état de santé, et partant</w:t>
      </w:r>
    </w:p>
    <w:p>
      <w:r>
        <w:t>A/1760/2025 - 18/19 - celle de la capacité de gain, pouvait être considérée comme étant stable et durable le 3 juin 2024, au vu des précédentes appréciations au dossier.</w:t>
      </w:r>
    </w:p>
    <w:p>
      <w:r>
        <w:rPr>
          <w:b/>
        </w:rPr>
        <w:t>E. 6</w:t>
      </w:r>
    </w:p>
    <w:p>
      <w:r>
        <w:t>Par conséquent, le recours sera admis et les décisions du 25 mars 2025 réformées en ce sens que le droit de la recourante à la rente entière d’invalidité est supprimé au 30 septembre 2024. La recourante obtenant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A/1760/2025 - 19/19 -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