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ATAS/749/2022 vom 30. August 2022</w:t>
      </w:r>
    </w:p>
    <w:p>
      <w:r>
        <w:t>GE Cour de justice, 2022-08-30, FR</w:t>
      </w:r>
    </w:p>
    <w:p>
      <w:r>
        <w:rPr>
          <w:b/>
        </w:rPr>
        <w:t xml:space="preserve">Quelle: </w:t>
      </w:r>
      <w:r>
        <w:t>https://mcp.opencaselaw.ch/entscheid/ge_gerichte_ATAS_749_2022</w:t>
      </w:r>
    </w:p>
    <w:p>
      <w:r>
        <w:t>FR: GE_GERICHTE ATAS/749/2022 du 30 août 2022</w:t>
      </w:r>
    </w:p>
    <w:p>
      <w:r>
        <w:t>IT: GE_GERICHTE ATAS/749/2022 del 30 agosto 2022</w:t>
      </w:r>
    </w:p>
    <w:p>
      <w:pPr>
        <w:pStyle w:val="Heading2"/>
      </w:pPr>
      <w:r>
        <w:t>Erwägungen</w:t>
      </w:r>
    </w:p>
    <w:p>
      <w:r>
        <w:rPr>
          <w:b/>
        </w:rPr>
        <w:t>E. 1</w:t>
      </w:r>
    </w:p>
    <w:p>
      <w:r>
        <w:t>La compétence de la chambre de céans et la recevabilité du recours ont déjà été examinées et admises dans l’arrêt sur partie du 26 avril 2022.</w:t>
      </w:r>
    </w:p>
    <w:p>
      <w:r>
        <w:rPr>
          <w:b/>
        </w:rPr>
        <w:t>E. 2</w:t>
      </w:r>
    </w:p>
    <w:p>
      <w:r>
        <w:t>La novelle du 21 juin 2019 de la loi fédérale sur la partie générale du droit des assurances sociales du 6 octobre 2000 (LPGA - RS 830.1) est entrée en vigueur le 1er janvier 2021. Dans la mesure où le présent recours n’était pas pendant à cette date, il est soumis au nouveau droit (art. 82a LPGA). Quant aux modifications du 19 juin 2020 de la loi fédérale sur l’assurance- invalidité du 19 juin 1959 (LAI - RS 831.20), entrées en vigueur le 1er janvier 2022, elles ne sont pas applicables. En effet, en cas de changement de règles de droit, la législation applicable est en principe celle en vigueur au moment où les faits juridiquement déterminants se sont produits (ATF 144 V 210 consid. 4.3.1).</w:t>
      </w:r>
    </w:p>
    <w:p>
      <w:r>
        <w:rPr>
          <w:b/>
        </w:rPr>
        <w:t>E. 3</w:t>
      </w:r>
    </w:p>
    <w:p>
      <w:r>
        <w:t>Le litige porte sur le degré d’invalidité du recourant jusqu’au 7 janvier 2021.</w:t>
      </w:r>
    </w:p>
    <w:p>
      <w:r>
        <w:rPr>
          <w:b/>
        </w:rPr>
        <w:t>E. 4</w:t>
      </w:r>
    </w:p>
    <w:p>
      <w:r>
        <w:t>La notion d'invalidité définie à l'art. 8 LPGA est en principe identique dans l'assurance-accidents, l'assurance militaire et l'assurance-invalidité (ATF 126 V 288 consid. 2d;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w:t>
      </w:r>
    </w:p>
    <w:p>
      <w:r>
        <w:t>A/579/2021 - 7/14 -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5</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w:t>
      </w:r>
    </w:p>
    <w:p>
      <w:r>
        <w:rPr>
          <w:b/>
        </w:rPr>
        <w:t>E. 6</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w:t>
      </w:r>
    </w:p>
    <w:p>
      <w:r>
        <w:t>A/579/2021 - 8/14 - désignation comme rapport ou comme expertise, mais bel et bien son contenu (arrêt du Tribunal fédéral 9C_453/2017 du 6 mars 2018 consid. 4.2).</w:t>
      </w:r>
    </w:p>
    <w:p>
      <w:r>
        <w:rPr>
          <w:b/>
        </w:rPr>
        <w:t>E. 7.1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7.2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w:t>
      </w:r>
    </w:p>
    <w:p>
      <w:r>
        <w:rPr>
          <w:b/>
        </w:rPr>
        <w:t>E. 7.3</w:t>
      </w:r>
    </w:p>
    <w:p>
      <w:r>
        <w:t>Pour déterminer le revenu d'invalide de l'assuré, il faut en l'absence d'un revenu effectivement réalisé se référer aux données salariales, telles qu'elles résultent des ESS (ATF 126 V 75 consid. 3b).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w:t>
      </w:r>
    </w:p>
    <w:p>
      <w:r>
        <w:t>A/579/2021 - 9/14 - limitations fonctionnelles peu contraignantes (arrêt du Tribunal fédéral 9C_603/2015 du 25 avril 2016 consid. 8.1).</w:t>
      </w:r>
    </w:p>
    <w:p>
      <w:r>
        <w:rPr>
          <w:b/>
        </w:rPr>
        <w:t>E. 7.4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7.5</w:t>
      </w:r>
    </w:p>
    <w:p>
      <w:r>
        <w:t>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Marc REICHMUTH, Rechtsprechung des Bundesgerichts zum IVG, 3ème éd. 2014, n. 108 ad art. 28a LAI).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S’agissant des limitations fonctionnelles aux membres supérieurs, le Tribunal fédéral a par exemple confirmé un abattement de 15 % en raison de limitations consistant à éviter les mouvements répétitifs ou d'effort du membre supérieur droit (arrêt du Tribunal fédéral 9C_839/2017 du 24 avril 2018 consid. 6.3).</w:t>
      </w:r>
    </w:p>
    <w:p>
      <w:r>
        <w:rPr>
          <w:b/>
        </w:rPr>
        <w:t>E. 8</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w:t>
      </w:r>
    </w:p>
    <w:p>
      <w:r>
        <w:t>A/579/2021 - 10/14 -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G______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l’assureur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9</w:t>
      </w:r>
    </w:p>
    <w:p>
      <w:r>
        <w:t>En l’espèce, s’agissant de la capacité de travail du recourant au plan psychique jusqu’à janvier 2021, il n’existe pas de motif de s’écarter des conclusions du Dr F______, soigneusement motivées, qui se fondent sur un examen clinique détaillé et une parfaite connaissance du dossier et de l’historique médical. Le recourant s’est du reste rallié à l’appréciation de cet expert. En ce qui concerne la capacité de travail au plan somatique, l’expertise du Dr E______ doit également se voir reconnaître une pleine valeur probante, dès lors qu’elle contient tous les éléments nécessaires à cet effet selon la jurisprudence. Ses conclusions sont d’ailleurs largement conformes aux avis émis</w:t>
      </w:r>
    </w:p>
    <w:p>
      <w:r>
        <w:t>A/579/2021 - 11/14 - par les médecins traitants du recourant, s’agissant du caractère adapté pour l’essentiel d’une activité dans l’horlogerie. Il n’existe en outre aucun rapport médical motivé qui justifierait de remettre en cause l’appréciation du Dr E______, l’avis succinct du Pr D______ n’y suffisant en particulier pas, dès lors que ce médecin ne s’est pas prononcé sur la capacité de gain du recourant. Le recourant ne conteste du reste pas expressément l’expertise du Dr E______, mais affirme que la diminution de rendement dans l’activité d’horloger admise par ce chirurgien devrait s’additionner à celle retenue dès 2019 par l’expert psychiatre. L’intimé soutient quant à lui qu’un tel cumul est exclu par la jurisprudence. En réalité, si le Tribunal fédéral a bien considéré qu’une simple addition des incapacités de travail découlant des différents empêchements ou plaintes n’est pas admissible (arrêt du Tribunal fédéral 8C_518/2007 du 7 décembre 2007 consid. 3.2), il a néanmoins souligné que c’est le but d’une expertise pluridisciplinaire que d’évaluer de manière globale l’incidence sur la capacité de travail des différentes atteintes à la santé, afin d’éviter qu’elle ne soit déterminée par la somme des empêchements qu’elles entraînent (arrêt du Tribunal fédéral 8C_548/2013 du 2 octobre 2013 consid. 5.2.2). En l’espèce, à défaut d’appréciation consensuelle des experts ou même d’une précision sur ce point par le Dr F______, on ignore si l’incapacité de travail de 50 % pour motifs psychiques s’ajoute à la diminution de rendement de 20 % pour motifs somatiques, ou si au contraire elle l’englobe. Cette question n’a cependant pas la portée que lui prête le recourant, dès lors que si le Dr E______ a retenu une diminution de rendement dans le métier d’horloger, il a en revanche considéré que la capacité de travail et le rendement du recourant étaient entiers dans une activité complètement adaptée, par exemple une activité mono-manuelle. À cet égard, on doit rappeler que la jurisprudence admet le caractère réaliste de l’exercice d’une telle activité sur le marché équilibré du travail, par exemple dans des tâches de surveillance ou de contrôle de machines ou d’unités de production automatisées (arrêt du Tribunal fédéral des assurances U 470/06 du 27 avril 2007 consid. 3 et les références). Partant, il est inutile d’ordonner un complément d’expertise afin d’évaluer de manière consensuelle la capacité de gain du recourant en fonction des atteintes tant somatiques que psychiques, et la chambre de céans retiendra, conformément aux conclusions des experts, que dans une activité complètement adaptée à ses limitations fonctionnelles, le recourant présentait une capacité de travail entière jusqu’à décembre 2018, puis de 50 % dès janvier 2019.</w:t>
      </w:r>
    </w:p>
    <w:p>
      <w:r>
        <w:rPr>
          <w:b/>
        </w:rPr>
        <w:t>E. 10</w:t>
      </w:r>
    </w:p>
    <w:p>
      <w:r>
        <w:t>Reste à examiner les calculs du degré d’invalidité auxquels l’intimé a procédé, tout en rappelant qu’en toute hypothèse, l’art. 29 al. 2 LAI prévoit que le droit à la rente ne prend pas naissance tant que l’assuré peut faire valoir son droit à une indemnité journalière au sens de l’art. 22 LAI.</w:t>
      </w:r>
    </w:p>
    <w:p>
      <w:r>
        <w:t>A/579/2021 - 12/14 -</w:t>
      </w:r>
    </w:p>
    <w:p>
      <w:r>
        <w:rPr>
          <w:b/>
        </w:rPr>
        <w:t>E. 10.1</w:t>
      </w:r>
    </w:p>
    <w:p>
      <w:r>
        <w:t>S’agissant de la période courant de 2016 à fin 2018, le revenu sans invalidité a été fixé à CHF 79'109.- par l’intimé, qui a toutefois admis un montant de CHF 80'755.40 à ce titre en cours de procédure. Ce dernier chiffre, qui est celui retenu par la Suva sur la base des indications de l’employeur, correspond largement aux montants ressortant du compte individuel AVS du recourant, lesquels comprennent non seulement le salaire, mais également l’indemnité de vacances versée séparément. C’est donc bien ce revenu sans invalidité que la chambre de céans retiendra pour 2016. En revanche, les indemnités de repas (indemnités-paniers) dont le recourant a réclamé l’intégration servent selon la jurisprudence à couvrir les frais supplémentaires subis par le travailleur, et ne font pas partie du revenu sans invalidité déterminant pour la comparaison des revenus (arrêt du Tribunal fédéral 8C_310/2018 du 18 décembre 2018 consid. 7.4 portant sur les indemnités prévues par la convention collective de travail du second-œuvre romand). Il n’y a donc pas à inclure ces indemnités dans le revenu sans invalidité. S’agissant du revenu après invalidité, c’est à juste titre que l’intimé l’a fixé en référence au niveau 1 dans des activités simples et répétitives selon l’ESS, la jurisprudence admettant le recours à cette valeur statistique même lorsqu’une activité mono-manuelle est seule possible (arrêts du Tribunal fédéral 9C_633/2016 du 28 décembre 2016 consid. 4.3 et 8C_670/2015 du 12 février 2016 consid. 4.3). Ce revenu était de CHF 5'340.- par mois, ce qui correspond à CHF 66'803.40 par an en 2016, compte tenu d’une durée normale de travail de 41.7 heures. L’intimé a abaissé ce salaire de 20 % en raison de l’empêchement admis par le Dr E______ dans l’horlogerie. Or, comme on l’a vu, cette diminution de rendement ne vaut pas dans une activité complètement adaptée, de sorte qu’il n’y pas lieu de prendre en considération une capacité de gain réduite. En ce qui concerne l’abattement, même s’il fallait consentir la réduction maximale de 25 %, cela porterait le revenu après invalidité à CHF 50'102.55. La comparaison avec le revenu sans invalidité révélerait alors un degré d’invalidité de 37.96 %, arrondi à 38 % selon les règles mathématiques (ATF 130 V 121 consid. 3.2), qui reste insuffisant pour ouvrir le droit à la rente.</w:t>
      </w:r>
    </w:p>
    <w:p>
      <w:r>
        <w:rPr>
          <w:b/>
        </w:rPr>
        <w:t>E. 10.2</w:t>
      </w:r>
    </w:p>
    <w:p>
      <w:r>
        <w:t>Après l’aggravation admise pour des motifs psychiques dès 2019 par le Dr F______, le calcul de l’invalidité s’opère comme suit. Le gain sans invalidité de CHF 80'755.40 s’élève à CHF 82'217.17 après indexation à 2019. Quant au revenu après atteinte à la santé, il doit être fixé sur les mêmes bases, soit le TA1_skill_level, niveau 1 de l’ESS 2018. Il s’agit d’un revenu de CHF 5'417.- par mois, soit CHF 65'004.- par an, ou CHF 68'377.- une fois indexé à 2019 et adapté à la durée normale de travail de 41.7 heures. Compte tenu d’une capacité de travail de 50 % et de l’abattement, le revenu après atteinte à la santé est de CHF 30'770.-. S’agissant de cet abattement, l’intimé est resté dans les limites de son pouvoir d’appréciation en retenant un taux de 10 % pour tenir compte des limitations</w:t>
      </w:r>
    </w:p>
    <w:p>
      <w:r>
        <w:t>A/579/2021 - 13/14 - fonctionnelles du recourant, et ce même si une réduction plus importante aurait également été envisageable. Contrairement à ce qu’affirme le recourant, le critère des années de service ne justifie pas de réduction supplémentaire, s’agissant d’une activité simple et répétitive, conformément à la jurisprudence citée. Dans ces circonstances, la chambre de céans ne saurait substituer sa propre appréciation à celle de l’intimé en admettant une réduction plus importante, et s’en tiendra ainsi aux 10 % admis à ce titre. Le revenu après invalidité est dès lors de CHF 30'770.-. Partant, le degré d’invalidité est de 62.58 %, ce qui ouvre le droit à trois quarts de rente. L’intimé a reconnu le droit à cette prestation dès le 1er janvier 2019, soit dès la diminution de la capacité de travail admise par le Dr F______. La chambre de céans renoncera à examiner si le délai de trois mois prévu en cas d’aggravation de l’invalidité pour déterminer le moment du changement du droit aux prestations selon l’art. 88a al. 2 du règlement sur l’assurance-invalidité (RAI – RS 831.201) – cette disposition étant applicable en cas de décision d’octroi d’une rente avec effet rétroactif (arrêt du Tribunal fédéral 9C_134/2015 du 3 septembre 2015 consid. 4.1) – aurait dû conduire à l’octroi d’un trois quart de rente dès le 1er avril seulement.</w:t>
      </w:r>
    </w:p>
    <w:p>
      <w:r>
        <w:rPr>
          <w:b/>
        </w:rPr>
        <w:t>E. 11</w:t>
      </w:r>
    </w:p>
    <w:p>
      <w:r>
        <w:t>Au vu de ce qui précède, la décision de l’intimé doit être confirmée en tant qu’elle porte sur le droit aux prestations du recourant s’agissant de la période courant du 1er février 2016 au 7 janvier 2021. Le recourant, qui succombe sur cette partie, n’a pas droit à des dépens. Compte tenu des circonstances, la chambre de céans renoncera exceptionnellement à la perception de l’émolument prévu à l’art. 69 al. 1bis LAI.</w:t>
      </w:r>
    </w:p>
    <w:p>
      <w:r>
        <w:t>A/579/2021 - 14/14 - PAR CES MOTIFS, LA CHAMBRE DES ASSURANCES SOCIALES : Statuant sur partie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