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ATAS/749/2018 vom 30. August 2018</w:t>
      </w:r>
    </w:p>
    <w:p>
      <w:r>
        <w:t>GE Cour de justice, 2018-08-30, FR</w:t>
      </w:r>
    </w:p>
    <w:p>
      <w:r>
        <w:rPr>
          <w:b/>
        </w:rPr>
        <w:t xml:space="preserve">Quelle: </w:t>
      </w:r>
      <w:r>
        <w:t>https://mcp.opencaselaw.ch/entscheid/ge_gerichte_ATAS_749_2018</w:t>
      </w:r>
    </w:p>
    <w:p>
      <w:r>
        <w:t>FR: GE_GERICHTE ATAS/749/2018 du 30 août 2018</w:t>
      </w:r>
    </w:p>
    <w:p>
      <w:r>
        <w:t>IT: GE_GERICHTE ATAS/749/2018 del 30 agosto 2018</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1 al. 1 LAVS, les dispositions de la LPGA s’appliquent, à moins que la loi n'y déroge expressément.</w:t>
      </w:r>
    </w:p>
    <w:p>
      <w:r>
        <w:rPr>
          <w:b/>
        </w:rPr>
        <w:t>E. 3</w:t>
      </w:r>
    </w:p>
    <w:p>
      <w:r>
        <w:t>Interjeté dans les forme et délai prévus par la loi, le recours est recevable (art. 56ss et 38 al. 1 LPGA).</w:t>
      </w:r>
    </w:p>
    <w:p>
      <w:r>
        <w:rPr>
          <w:b/>
        </w:rPr>
        <w:t>E. 4</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b) En l’occurrence, il y a sans nul doute eu aggravation de l’état de santé (amputation de la jambe au-dessus de l’articulation) du recourant. Si une telle aggravation est probablement susceptible d’influencer son droit aux prestations, compte tenu de son âge et de son état de santé général, force est de constater qu’elle est postérieure à la décision entreprise. Par conséquent, le litige se limite à la question du droit du recourant à l’octroi de moyens auxiliaires, en particulier à une participation au prix d’achat d’un fauteuil de transfert Herdegen, au vu des circonstances qui prévalaient le 12 juin 2017.</w:t>
      </w:r>
    </w:p>
    <w:p>
      <w:r>
        <w:rPr>
          <w:b/>
        </w:rPr>
        <w:t>E. 5</w:t>
      </w:r>
    </w:p>
    <w:p>
      <w:r>
        <w:t>À teneur de l’art. 43quater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(al. 1).</w:t>
      </w:r>
    </w:p>
    <w:p>
      <w:r>
        <w:t>A/2974/2017 - 5/7 - Il désigne les moyens auxiliaires que l'assurance remet et ceux pour lesquels elle alloue des contributions à titre de participation aux frais; il règle la remise de ces moyens auxiliaires ainsi que la procédure et détermine quelles dispositions de la LAI sont applicables (al. 3). Le Conseil fédéral a délégué cette compétence au Département fédéral de l'intérieur (art. 66ter du règlement sur l'assurance-vieillesse et survivants du 31 octobre 1947 [RAVS - RS 831.101]), lequel a édicté l'ordonnance concernant la remise des moyens auxiliaires du 28 août 1978 (OMAV; RS 831.135.1), avec en annexe la liste des moyens auxiliaires (arrêt du Tribunal fédéral des assurances H 231/00 du 3 mars 2005 consid. 2.1). Selon l’art. 2 al. 1 OMAV, les bénéficiaires d'une rente de vieillesse domiciliés en Suisse et ayant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D’après le ch. 9.51 de l’annexe à l’OMAV, l’assurance prend en charge les fauteuils roulants sans moteur, lorsqu'il est probable qu'ils seront utilisés continuellement et durablement. La contribution de l'assurance est de CHF 900.- et la prestation peut être revendiquée au maximum tous les cinq ans. La participation aux coûts pour un équipement spécial nécessité par l'invalidité s'élève à CHF 1'840.-. Si, en plus, un coussin anti-escarres est nécessaire, la participation s'élève à CHF 2'200.-. Les équipements spéciaux doivent être remis par des centres reconnus par l'Office fédéral des assurances sociales (OFAS). Bien que la liste des moyens auxiliaires selon l'annexe à l'OMAV soit en principe exhaustive, sa constitutionnalité et sa légalité n'échappent pas au contrôle du juge. L'autorité exécutive dispose néanmoins d'un très large pouvoir d'appréciation : l'examen du juge se limite à un contrôle sous l'angle de l'arbitraire, en ce sens que le département ne saurait créer des discriminations injustifiées ou adopter des critères insoutenables, qui ne reposent sur aucun fondement sérieux et objectif (arrêt du Tribunal fédéral des assurances H 110/00 du 6 juillet 2000 consid. 3 et les références). Le Conseil fédéral (ou le Département fédéral de l'intérieur) n'est pas tenu d'inscrire dans la liste tous les moyens auxiliaires qui seraient nécessaires ou simplement utiles aux bénéficiaires de rentes de vieillesse. Il s'agit bien plutôt, pour l'autorité exécutive, d'opérer un choix parmi ces moyens (arrêt du Tribunal fédéral des assurances H 110/00 du 6 juillet 2000 consid. 3 et les références). La Circulaire concernant la remise des moyens auxiliaires par l’assurance-vieillesse (CMAV) précise encore que n’ont pas droit à une participation aux coûts pour un fauteuil roulant les personnes hospitalisées, c’est-à-dire probablement en séjour de longue durée dans un hôpital, séjournant dans un home et n’ayant besoin que d’un</w:t>
      </w:r>
    </w:p>
    <w:p>
      <w:r>
        <w:t>A/2974/2017 - 6/7 - fauteuil roulant simple, et n’ayant besoin d’un fauteuil roulant que de manière transitoire (par ex. pendant le traitement d’une maladie aiguë ou d’un accident) ou seulement occasionnellement pour des sorties assez longues (§ 2023).</w:t>
      </w:r>
    </w:p>
    <w:p>
      <w:r>
        <w:rPr>
          <w:b/>
        </w:rPr>
        <w:t>E. 6</w:t>
      </w:r>
    </w:p>
    <w:p>
      <w:r>
        <w:t>En l’occurrence, le recourant demande une contribution à l’achat d’un fauteuil de transfert de la marque Herdegen, ce que l’intimée refuse, au motif que ce type de fauteuil roulant ne figure pas sur la liste exhaustive des moyens auxiliaires annexée à l’OMAV. Le fauteuil de transfert demandé par le recourant est décrit ainsi par son fabricant : « Fiable, solide et léger avec leur châssis tout aluminium, les fauteuils Ideal et Living répondent parfaitement aux besoins de transfert des personnes à mobilité réduite. Moins encombrant qu'un fauteuil roulant, leurs dimensions réduites permettent des déplacements dans des endroits exigus. Le modèle Living a été testé et validé au Cerah pour supporter jusqu’à 100 kg. Plusieurs largeurs disponibles. » (http://www.herdegenfrance.com/fr/catalogue/produit/250). Il est donc plus maniable et plus petit qu’un fauteuil roulant standard figurant dans la liste des moyens auxiliaires annexée à l’OMAV. Muni de quatre roues, de cale- pieds, de poignées de poussée et de freins comme un fauteuil roulant standard, le fauteuil de transfert dispose toutefois d’une structure plus légère et étroite et ne permet pas à son utilisateur de se mouvoir seul ou d’aider la personne qui le pousse, ses roues arrière étant plus petites et non équipées d’une main courante. S’il est vraisemblable que l’aide quotidienne reçue par le recourant serait facilitée par l’acquisition d’un fauteuil de transfert, force est de constater que ce type de fauteuil ne figure pas dans la liste exhaustive des moyens auxiliaires de l’OMAV. Comme l’a relevé le Tribunal fédéral, en établissant la liste des moyens auxiliaires, le DFI n'était pas tenu d’y inscrire tous les moyens auxiliaires qui seraient nécessaires ou simplement utiles aux bénéficiaires de rentes de vieillesse, sa mission consistant à faire un choix parmi l’ensemble des moyens à disposition. L’absence du fauteuil de transfert de cette liste n’apparaît donc pas arbitraire puisqu’un tel fauteuil ne remplit que partiellement des fonctions d’un fauteuil roulant standard, plus stable, mieux adapté aux déplacements à l’extérieur et permettant à son utilisateur un usage quotidien prolongé, voire permanent. Dans la mesure où le fauteuil de transfert ne fait pas partie des moyens auxiliaires figurant sur la liste annexée à l’OMAV, c’est à bon droit que l’intimée a refusé de contribuer à son achat. À cet égard, peu importe la marque du fauteuil de transfert ou le fait que la liste des moyens auxiliaires pris en charge ne figure pas dans le formulaire de demande de moyens auxiliaires. Au vu de ce qui précède le recours sera rejeté. Pour le surplus, la procédure est gratuite (art. 61 let. a LPGA). Quant à l’aggravation annoncée en janvier 2018, il est rappelé qu’il est loisible à l’assuré de déposer une nouvelle demande de moyens auxiliaires.</w:t>
      </w:r>
    </w:p>
    <w:p>
      <w:r>
        <w:t>A/2974/2017 - 7/7 -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