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ATAS/749/2016 vom 20. September 2016</w:t>
      </w:r>
    </w:p>
    <w:p>
      <w:r>
        <w:t>GE Cour de justice, 2016-09-20, FR</w:t>
      </w:r>
    </w:p>
    <w:p>
      <w:r>
        <w:rPr>
          <w:b/>
        </w:rPr>
        <w:t xml:space="preserve">Quelle: </w:t>
      </w:r>
      <w:r>
        <w:t>https://mcp.opencaselaw.ch/entscheid/ge_gerichte_ATAS_749_2016</w:t>
      </w:r>
    </w:p>
    <w:p>
      <w:r>
        <w:t>FR: GE_GERICHTE ATAS/749/2016 du 20 septembre 2016</w:t>
      </w:r>
    </w:p>
    <w:p>
      <w:r>
        <w:t>IT: GE_GERICHTE ATAS/749/2016 del 20 settembre 2016</w:t>
      </w:r>
    </w:p>
    <w:p>
      <w:pPr>
        <w:pStyle w:val="Heading2"/>
      </w:pPr>
      <w:r>
        <w:t>Erwägungen</w:t>
      </w:r>
    </w:p>
    <w:p>
      <w:r>
        <w:rPr>
          <w:b/>
        </w:rPr>
        <w:t>E. 12</w:t>
      </w:r>
    </w:p>
    <w:p>
      <w:r>
        <w:t>Par arrêt du 24 juin 2016, la Chambre civile de la Cour de Justice a rejeté la requête en interprétation, jugeant qu’il n’y avait pas contradiction entre le chiffre 12 du dispositif et le considérant. Elle a cependant indiqué que « Peut-être aurait-il fallu préciser dans le dispositif que les parties s’étaient mises d’accord sur le transfert d’une somme en capital de CHF 278'840,95 sur le compte de libre-passage de la citée. Cela étant, l’interprétation ne tend pas à modifier le jugement rendu à la manière d’un appel déguisé et le juge saisi d’une demande en rectification ne doit donc pas changer le fond du jugement (voir ch. 1.2 ci-dessus). De surcroît les parties sont encore en litige sur la question du montant exact à transférer compte tenu des intérêts ».</w:t>
      </w:r>
    </w:p>
    <w:p>
      <w:r>
        <w:rPr>
          <w:b/>
        </w:rPr>
        <w:t>E. 13</w:t>
      </w:r>
    </w:p>
    <w:p>
      <w:r>
        <w:t>Le mandataire du demandeur, se fondant sur l’arrêt de la Chambre civile du 24 juin 2016, a constaté que seule subsistait la question de savoir si la créance de la demanderesse portait intérêt à compter de la date à partir de laquelle cet accord était intervenu et dans l’affirmative à quel taux. Il a à cet égard suggéré que l’on se réfère au taux minimal prévu par la LPP selon ce que prévoit le liquidateur en charge de la Caisse de pension de la Lloyds en liquidation.</w:t>
      </w:r>
    </w:p>
    <w:p>
      <w:r>
        <w:rPr>
          <w:b/>
        </w:rPr>
        <w:t>E. 14</w:t>
      </w:r>
    </w:p>
    <w:p>
      <w:r>
        <w:t>Une copie de cette écriture a été transmise à la demanderesse et la cause gardée à juger.</w:t>
      </w:r>
    </w:p>
    <w:p>
      <w:r>
        <w:t>A/2030/2015 5/9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 2. 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 4. En l’espèce, le Tribunal de première instance a, par jugement du 7 janvier 2013, ordonné le partage par moitié des avoirs de prévoyance professionnelle, et le transfert de la somme de CHF 278'840.95 sur le compte de la demanderesse. Celle- ci a contesté ce jugement, parce que la question des intérêts légaux avait été omise. Dans son arrêt du 28 juin 2013, la Chambre civile mentionne toutefois expressément que « les parties sont en litige sur la question du montant exact à transférer et sur les intérêts ayant couru depuis le 30 septembre 2012 jusqu'à l'entrée en vigueur du prononcé du jugement de divorce. Dans le dispositif de son arrêt, elle ordonne le partage par moitié des avoirs de prévoyance professionnelle accumulés</w:t>
      </w:r>
    </w:p>
    <w:p>
      <w:r>
        <w:t>A/2030/2015 6/9 par les parties durant le mariage et transmet la cause à la Chambre de céans pour détermination du montant à transférer. La Chambre de céans a dès lors considéré qu’il se justifiait d’attirer l’attention des parties sur la contradiction existant entre le dispositif et le considérant 12 de l’arrêt, ainsi que sur la différence entre le montant qu’aurait eu à verser le demandeur sur le compte de libre passage de la demanderesse si l’on se fondait sur l’enquête qu’elle a menée auprès des institutions de prévoyance concernées, soit CHF 377'633.- (388'610.50 – 10'977.50), et le montant convenu par les demandeurs, soit CHF 278'840.-. Il y a lieu à ce stade de rappeler qu’il n’appartient pas à la Chambre de céans de déterminer la clé de répartition. Au vu des déclarations des demandeurs lors de la comparution personnelle du 8 mars 2016, la Chambre de céans a invité les parties à déposer auprès de la Chambre civile une demande en interprétation de son arrêt, ce qu’elles ont fait. Le 24 juin 2016, la Chambre civile a rejeté la demande en interprétation, tout en admettant que « peut-être aurait-il fallu préciser dans le dispositif que les parties s’étaient mises d’accord sur le transfert d’une somme en capital de 278’840 fr. 95 sur le compte de libre-passage de la citée ». 5.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1er mars 2007). La chambre civile a en l’occurrence confirmé le 24 juin 2016 qu’il convenait de transférer le montant de CHF 278'840.95 sur le compte de libre passage de la demanderesse. 6. N’est plus litigieuse que la question des intérêts. La demanderesse soutient que le montant auquel elle a droit doit donner lieu au versement d’intérêts légaux dès le 1er octobre 2012. Le demandeur s’oppose quant à lui à ce qu’un intérêt soit débité de ses avoirs LPP à un taux supérieur au rendement global de ceux-ci. 7. En cas de divorce, les prestations de sortie acquises durant le mariage sont partagées conformément aux art. 122, 123, 141 et 142 CC; les art. 3 à 5 LFLP s'appliquent par analogie au montant à transférer (art. 22 al. 1 LFLP). Pour chaque conjoint, la prestation de sortie à partager correspond à la différence entre la prestation de sortie, augmentée des avoirs de libre passage existant éventuellement</w:t>
      </w:r>
    </w:p>
    <w:p>
      <w:r>
        <w:t>A/2030/2015 7/9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(art. 22 al. 2 première et deuxième phrases LFLP). Selon l'art. 26 al. 3 LFLP, le Conseil fédéral fixe le taux d'intérêt applicable aux prestations de sortie et de libre passage acquises au moment de la conclusion du mariage et aux versements uniques qui doivent porter intérêt pour le calcul des prestations de sortie à partager conformément à l'art. 22 LFLP. Aux termes de l'art. 8a al. 1 OLP, lors du partage de la prestation de sortie suite au divorce, conformément à l'art. 22 LFLP, le taux d'intérêt applicable aux prestations de sortie et de libre passage acquises au moment de la conclusion du mariage et aux versements uniques dus au moment du divorce correspond au taux minimal fixé à l'art. 12 OPP 2, applicable durant cette période. L'art. 2 al. 3 LFLP prescrit que la prestation de sortie est exigible lorsque l'assuré quitte l'institution de prévoyance. Elle est affectée d'intérêts moratoires à partir de ce moment-là. Selon l'art. 7 OLP, le taux de l'intérêt moratoire correspond au taux d'intérêt minimal fixé dans la LPP, augmenté d'un quart pour cent. 8.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En effet, il ne faudrait pas non plus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(arrêts du 8 avril 2003 V. &amp; K.-C. [B 88/02], destiné à la publication, et P.-St. &amp; F. [B 73/02]). Il s'ensuit que le droit à des intérêts compensatoires sur le montant de la prestation de sortie à transférer au conjoint divorcé existe depuis le jour déterminant pour le partage jusqu'au moment du transfert ou de la demeure. Ils ne doivent pas être cumulés avec les intérêts moratoires dès lors qu'ils poursuivent le même but, soit le maintien de la prévoyance (cf. à ce sujet Stéphane SPAHR, L'intérêt moratoire, conséquence de la demeure, in RVJ 1990, p. 372 et 380 avec les références). Reste à déterminer le taux d'intérêt compensatoire à verser sur la prestation de sortie.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(voir Hans Michael RIEMER, Das Recht der beruflichen Vorsorge in der Schweiz, p. 58 § 2 ch. m. 35 s., p. 102 s. § 4 ch. m. 15-17) prévoit un taux d'intérêt supérieur pour l'avoir de vieillesse, ce taux</w:t>
      </w:r>
    </w:p>
    <w:p>
      <w:r>
        <w:t>A/2030/2015 8/9 est applicable. L'institution de prévoyance doit ainsi, dans la prévoyance obligatoire, créditer la prestation de sortie à transférer fondée sur les art. 122 CC et 22 LFLP du taux d'intérêt minimal selon l'art. 12 OPP 2 ou en tout cas du taux réglementaire supérieur. Lorsque les parties ont choisi un moment antérieur pour le calcul de la prestation de sortie à partager,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 9. Aussi, conformément à la jurisprudence, la demanderesse a-t-elle droit à des intérêts compensatoires sur le montant de la prestation dont elle bénéficie depuis le jour déterminant pour le partage, soit en l’espèce depuis le 1er octobre 2012 - les attestations des institution de prévoyance sur lesquelles s’est fondé le juge civil pour fixer le montant à transférer ayant été établies au 30 septembre 2012 -, jusqu’au moment du transfert de la prestation de sortie ou de la demeure. Ces intérêts sont calculés au taux minimum légal selon l'art. 12 OPP 2 ou selon le taux réglementaire, si celui-ci est supérieur (ATF 129 V 255 consid. 3). 10. Aucun émolument ne sera perçu, la procédure étant gratuite (art. 73 al. 2 LPP et 89H al. 1 de la loi sur la procédure administrative du 12 septembre 1985).</w:t>
      </w:r>
    </w:p>
    <w:p>
      <w:r>
        <w:t>***</w:t>
      </w:r>
    </w:p>
    <w:p>
      <w:r>
        <w:t>A/2030/2015 9/9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