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ATAS/746/2025 vom 6. Oktober 2025</w:t>
      </w:r>
    </w:p>
    <w:p>
      <w:r>
        <w:t>GE Cour de justice, 2025-10-06, FR</w:t>
      </w:r>
    </w:p>
    <w:p>
      <w:r>
        <w:rPr>
          <w:b/>
        </w:rPr>
        <w:t xml:space="preserve">Quelle: </w:t>
      </w:r>
      <w:r>
        <w:t>https://mcp.opencaselaw.ch/entscheid/ge_gerichte_ATAS_746_2025</w:t>
      </w:r>
    </w:p>
    <w:p>
      <w:r>
        <w:t>FR: GE_GERICHTE ATAS/746/2025 du 6 octobre 2025</w:t>
      </w:r>
    </w:p>
    <w:p>
      <w:r>
        <w:t>IT: GE_GERICHTE ATAS/746/2025 del 6 ottobre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t>A/129/2025 - 6/11 - Sa compétence à raison de la matière pour juger du cas d’espèce est ainsi établie.</w:t>
      </w:r>
    </w:p>
    <w:p>
      <w:r>
        <w:rPr>
          <w:b/>
        </w:rPr>
        <w:t>E. 1.2</w:t>
      </w:r>
    </w:p>
    <w:p>
      <w:r>
        <w:t>À teneur de l'art. 1 LAMal, les dispositions de la LPGA s'appliquent à l'assurance-maladie, à moins que la loi n'y déroge expressément.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En l'occurrence, sur son acte de recours, le recourant a indiqué une adresse à Palerme, en Italie. Toutefois, il ressort du dossier que le recourant était auparavant en dernier lieu domicilié en Suisse à Genève (11, boulevard Saint-Georges). La chambre de céans est partant également compétente à raison du lieu.</w:t>
      </w:r>
    </w:p>
    <w:p>
      <w:r>
        <w:rPr>
          <w:b/>
        </w:rPr>
        <w:t>E. 1.3</w:t>
      </w:r>
    </w:p>
    <w:p>
      <w:r>
        <w:t>Interjeté dans la forme et le délai de trente jours prévus par la loi (art. 56 ss LPGA et 62 ss de la loi sur la procédure administrative du 12 septembre 1985 - LPA - E 5 10), le recours est recevable.</w:t>
      </w:r>
    </w:p>
    <w:p>
      <w:r>
        <w:rPr>
          <w:b/>
        </w:rPr>
        <w:t>E. 2</w:t>
      </w:r>
    </w:p>
    <w:p>
      <w:r>
        <w:t>Il convient préalablement d'examiner l'objet du litige.</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t>A/129/2025 - 7/11 -</w:t>
      </w:r>
    </w:p>
    <w:p>
      <w:r>
        <w:rPr>
          <w:b/>
        </w:rPr>
        <w:t>E. 2.2</w:t>
      </w:r>
    </w:p>
    <w:p>
      <w:r>
        <w:t>En l'espèce, la décision litigieuse ordonne la restitution du montant de CHF 32'050.70, correspondant aux prestations perçues indûment selon l'intimée. Le litige porte dès lors exclusivement sur la conformité au droit de cette demande de restitution. Ainsi et même si la décision attaquée aborde la question de la bonne foi, indiquant d'ores et déjà que celle-ci devra être niée en cas d'éventuelle demande de remise, la question d'une telle remise, qui doit faire l'objet d'une demande auprès de l'intimée, puis d'une décision et, le cas échéant, d'une décision sur opposition avant tout recours devant la chambre de céans, est exorbitante au présent litige et ne sera ici pas examinée. Les conclusions subsidiaires du recourant tendant à l'octroi d'une remise seront par conséquent déclarée irrecevables.</w:t>
      </w:r>
    </w:p>
    <w:p>
      <w:r>
        <w:rPr>
          <w:b/>
        </w:rPr>
        <w:t>E. 3</w:t>
      </w:r>
    </w:p>
    <w:p>
      <w:r>
        <w:t>Le recourant conteste la restitution de CHF 32'050.70 ordonnée par l'intimée.</w:t>
      </w:r>
    </w:p>
    <w:p>
      <w:r>
        <w:rPr>
          <w:b/>
        </w:rPr>
        <w:t>E. 3.1</w:t>
      </w:r>
    </w:p>
    <w:p>
      <w:r>
        <w:t>Selon l'art. 25 al. 1 1re phr. LPGA, en relation avec l'art. 2 al. 1 let. a de l'ordonnance sur la partie générale du droit des assurances sociales du 11 septembre 2002 (OPGA ; RS 830.11), les prestations indûment touchées doivent être restituées par le bénéficiaire ou par ses héritiers. L’étendue de l’obligation de restituer est fixée par une décision (art. 3 al. 1 OPGA).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3.2</w:t>
      </w:r>
    </w:p>
    <w:p>
      <w:r>
        <w:t>Selon l'art. 53 al. 1 LPGA, les décisions et les décisions sur opposition formellement passées en force sont soumises à révision si l'assuré ou l'assureur découvre subséquemment des faits nouveaux importants ou trouve des nouveaux</w:t>
      </w:r>
    </w:p>
    <w:p>
      <w:r>
        <w:t>A/129/2025 - 8/11 -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w:t>
      </w:r>
    </w:p>
    <w:p>
      <w:r>
        <w:rPr>
          <w:b/>
        </w:rPr>
        <w:t>E. 3.3</w:t>
      </w:r>
    </w:p>
    <w:p>
      <w:r>
        <w:t>Aux termes de l'art. 25 al. 2 LPGA, dans sa teneur en vigueur jusqu’au 31 décembre 2020,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Depuis le 1er janvier 2021, le délai de péremption relatif a été porté à trois ans (art. 25 al. 2 LPGA).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arrêt du Tribunal fédéral 1C_540/2014 du</w:t>
      </w:r>
    </w:p>
    <w:p>
      <w:r>
        <w:rPr>
          <w:b/>
        </w:rPr>
        <w:t>E. 3.4</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Les autorités administratives et les juridictions administratives saisies d’une question</w:t>
      </w:r>
    </w:p>
    <w:p>
      <w:r>
        <w:t>A/129/2025 - 9/11 - préjudicielle sont toutefois liées par les décisions de l’organe compétent qui l’ont résolue avec force de chose jugée (art. 14 al. 2 LPA).</w:t>
      </w:r>
    </w:p>
    <w:p>
      <w:r>
        <w:rPr>
          <w:b/>
        </w:rPr>
        <w:t>E. 3.5</w:t>
      </w:r>
    </w:p>
    <w:p>
      <w:r>
        <w:t>En l'espèce, la révision de la décision en la forme d'une demande de restitution repose sur la découverte de faits nouveaux anciens et importants, soit le fait que les prestations allouées l'ont été sur la base d'infractions pénales, de sorte que les conditions d'une révision selon l'art. 53 al. 1 LPGA sont réalisées. Le recourant affirme néanmoins avoir effectivement utilisé les médicaments délivrés sur ordonnance, étant sous traitement pour des troubles neuropsychiatriques, n'avoir jamais déclaré ne pas avoir besoin de ces médicaments et ne pas les avoir utilisés ainsi que n'avoir jamais admis n'avoir payé aucune facture. Il soutient en outre qu'aucun élément ne permettait à l'intimée de considérer que c'étaient toutes les factures qu'il n'avait pas payées. Il conteste ainsi avoir touché les prestations dont la restitution est demandée indûment ainsi que l'étendue de l'obligation de restituer. Toutefois, le recourant a été condamné par ordonnance pénale du 9 décembre 2021 pour escroquerie par métier et faux dans les titres. Cette ordonnance retient que les faits reprochés – qui incluent le fait d'avoir astucieusement induit en erreur l'intimée en ayant menti s'agissant des prestations dont il aurait prétendument bénéficié, lui faisant ainsi indûment verser un montant total de CHF 32'050.70 – sont établis et sont constitutifs de ces deux infractions. Or, cette ordonnance pénale est entrée en force et lie la chambre de céans. La perception de prestations indues d'un montant de CHF 32'050.70 est ainsi établie. Au demeurant, il sera relevé que le recourant n'apporte aucun élément dans la présente procédure permettant de remettre en cause cette conclusion. Il se contente en effet d'alléguer avoir effectivement utilisé les médicaments délivrés sur ordonnance, sans indiquer précisément quelles factures seraient concernées par son allégation, ni n'y apporter aucune substance, les certificats médicaux versés à la procédure d'opposition ne lui étant à cet égard d'aucun secours, ceci alors que, d'une part, il a admis ne pas avoir payé les médicaments et avoir néanmoins envoyé les factures à l'intimée pour remboursement dans le cadre de la procédure pénale et que, d'autre part, l'intimée a produit les factures et les décomptes de prestations concernés par l'obligation de restitution. Finalement, s'agissant de la péremption, lorsqu'elle a eu connaissance des faits, l'intimée a porté plainte, le 11 février 2020, et elle a ensuite dans la foulée demandé la restitution des prestations, le 18 février 2020, de sorte qu'elle a agi dans le délai de péremption relatif d'un an. Par ailleurs, la demande de restitution porte sur des prestations relatives à des factures médicales datant de décembre 2016 à décembre 2018 et ont été versées selon des décomptes de prestations émis de janvier 2017 à avril 2019, de sorte qu'au moment du prononcé de la décision de</w:t>
      </w:r>
    </w:p>
    <w:p>
      <w:r>
        <w:t>A/129/2025 - 10/11 - remboursement le 18 février 2020, le délai de prescription de l'action pénale de quinze ans n'était pas échu. Par conséquent, c'est à juste titre que l'intimée a confirmé sur opposition sa demande de restitution de CHF 32'050.70. 4. Dans ces circonstances, la décision sur opposition de l'intimée est conforme au droit et le recours à son encontre, mal fondé, sera rejeté.</w:t>
      </w:r>
    </w:p>
    <w:p>
      <w:r>
        <w:rPr>
          <w:b/>
        </w:rPr>
        <w:t>E. 5</w:t>
      </w:r>
    </w:p>
    <w:p>
      <w:r>
        <w:t>La procédure est gratuite (art. 61 let. fbis a contrario LPGA).</w:t>
      </w:r>
    </w:p>
    <w:p>
      <w:r>
        <w:t>A/129/2025 - 11/11 -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