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ATAS/746/2011 vom 23. August 2011</w:t>
      </w:r>
    </w:p>
    <w:p>
      <w:r>
        <w:t>GE Cour de justice, 2011-08-23, FR</w:t>
      </w:r>
    </w:p>
    <w:p>
      <w:r>
        <w:rPr>
          <w:b/>
        </w:rPr>
        <w:t xml:space="preserve">Quelle: </w:t>
      </w:r>
      <w:r>
        <w:t>https://mcp.opencaselaw.ch/entscheid/ge_gerichte_ATAS_746_2011</w:t>
      </w:r>
    </w:p>
    <w:p>
      <w:r>
        <w:t>FR: GE_GERICHTE ATAS/746/2011 du 23 août 2011</w:t>
      </w:r>
    </w:p>
    <w:p>
      <w:r>
        <w:t>IT: GE_GERICHTE ATAS/746/2011 del 23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w:t>
      </w:r>
    </w:p>
    <w:p>
      <w:r>
        <w:t>A/1055/2011 - 9/14 -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 la demande de prestations datant du 5 mars 2010 et portant sur la situation de l'assuré dès le 1er décembre 2009.</w:t>
      </w:r>
    </w:p>
    <w:p>
      <w:r>
        <w:rPr>
          <w:b/>
        </w:rPr>
        <w:t>E. 4</w:t>
      </w:r>
    </w:p>
    <w:p>
      <w:r>
        <w:t>Interjeté dans les forme et délai prévus par la loi, le recours est recevable (art. 56 à 60 LPGA).</w:t>
      </w:r>
    </w:p>
    <w:p>
      <w:r>
        <w:rPr>
          <w:b/>
        </w:rPr>
        <w:t>E. 5</w:t>
      </w:r>
    </w:p>
    <w:p>
      <w:r>
        <w:t>La question litigieuse porte sur la prise en compte par l’intimé, pour le calcul des prestations, d'un compte 3ème pilier « a », de la valeur des deux immeubles propriétés de l'assuré et en particulier du montant de l'hypothèque, ainsi que d'un rendement pour ces immeubles.</w:t>
      </w:r>
    </w:p>
    <w:p>
      <w:r>
        <w:rPr>
          <w:b/>
        </w:rPr>
        <w:t>E. 6</w:t>
      </w:r>
    </w:p>
    <w:p>
      <w:r>
        <w:t>a) Au niveau fédéral, selon l’art 4 LPC,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9 al. 1 LPC). b) Aux termes de l'art. 11 al. 1 let. b LPC, les revenus déterminants comprennent, entre autres éléments, le produit de la fortune immobilière. L'article 11 al. 1 let. c LPC stipule qu'est pris en compte un dixième de la fortune nette pour les rentiers AVS, après déduction de 25'000 pour une personne seule (37'500 fr. dès le 1er janvier 2011). Si l'immeuble est habité par le bénéficiaire, seule la valeur supérieure à 75'000 fr. est prise en compte. Conformément à l'art.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w:t>
      </w:r>
    </w:p>
    <w:p>
      <w:r>
        <w:t>A/1055/2011 - 10/14 -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du 29 août 2005, P 65/04, consid. 5.3.1; VSI 1994 p. 225 s. consid. 3b).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c)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w:t>
      </w:r>
    </w:p>
    <w:p>
      <w:r>
        <w:t>A/1055/2011 - 11/14 -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d) Aux termes de l’art. 10 al. 3 let. e LPC, les pensions alimentaires dues interviennent au chapitre des dépenses reconnues. Comme le Tribunal fédéral l’a retenu dans l'ATF du 29 mai 2002 avec références à la doctrine (5P 173/02, considérant 4b – non publié dans Pra 2002 n° 168 p. 911), le libellé clair de cette disposition présuppose que les prestations d’entretien fixées aient été payées (Pratique VSI 2004/03 p. 149 consid. 3).</w:t>
      </w:r>
    </w:p>
    <w:p>
      <w:r>
        <w:rPr>
          <w:b/>
        </w:rPr>
        <w:t>E. 7</w:t>
      </w:r>
    </w:p>
    <w:p>
      <w:r>
        <w:t>Au niveau cantonal, l’art. 4 LPCC prévoit qu’ont droit aux prestations les personnes dont le revenu annuel déterminant n’atteint pas le revenu minimum cantonal d’aide sociale applicable. L'article 1A al 1 LPCC prévoit en outre que les dispositions de la loi fédérale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w:t>
      </w:r>
    </w:p>
    <w:p>
      <w:r>
        <w:rPr>
          <w:b/>
        </w:rPr>
        <w:t>E. 8</w:t>
      </w:r>
    </w:p>
    <w:p>
      <w:r>
        <w:t>En l'espèce, l'assuré reproche en premier lieu à l'intimé de tenir compte au titre de la fortune de son compte 3ème pilier « a » auprès de l'UBS de 37'167 fr. 45. au 31 décembre 2009 et de 39'739 fr. lors de sa libération, en décembre 2010, au motif que cette prévoyance liée n'est pas obligatoirement libérée même en cas d'invalidité totale, mais seulement à la demande de l'assuré, ce qui a été fait fin 2010 seulement. Ce grief ne résiste manifestement pas à l'examen dès lors que l'assuré avait la libre disposition de cette fortune, dès la décision d'octroi d'une rente entière d'invalidité en juin 2009 en application de l'art. 3 al. 1 let a OPP 3, l'accord du conjoint n'étant pas requis dans cette hypothèse et le fait qu'il ait tardé à en disposer n'est pas déterminant. C'est donc à juste titre que le SPC a tenu compte de cet élément de fortune dans le calcul des prestations. C'est ainsi que l'assuré a d'ailleurs payé ses frais de séjour dans un home de mai à septembre 2010, à hauteur de 41'527 fr. 90. Au demeurant, la fortune déclarée par le tuteur de l'assuré lors de la demande de mars 2009 totalise 64'585 fr. 65 et mentionne un compte UBS pour 37'108 fr. Dans la mesure où c'est le numéro de client qui est mentionné (240-765003), on ne sait pas s'il s'agit du compte épargne (765003.J1N) ou du compte 3ème pilier</w:t>
      </w:r>
    </w:p>
    <w:p>
      <w:r>
        <w:t>A/1055/2011 - 12/14 - (190'197.38N). La fortune mobilière nette retenue par le SPC correspond cependant au montant déclaré. Sur ce point, le recours est mal fondé. Le second grief de l'assuré, portant sur la prise en compte des hypothèques pour déterminer la fortune afférente à l'appartement à Avusy a été admis par le SPC. Il convient en effet de déduire de la valeur vénale retenue et qui n'est plus contestée par l'assuré (1'015'000 fr./. 2 = 507'500 fr.) la moitié des dettes hypothécaires (390'000 fr. ./. 2 = 195'000 fr.), de sorte que cette part de la fortune immobilière s'élève à 312'500 fr. S'agissant du Chalet à Troistorrents, la fortune de 34'125 fr. (155'000 - 86'750 ./. 2) prise en compte n'est pas contestée par le recourant. Ainsi, la fortune totale de l'assuré, lors du dépôt de la demande était de 411'209 fr. 20, soit après déduction de la franchise de 25'000 fr. et à concurrence de la part légale (1/8) de 48'276 fr. (PCF). L'assuré ayant depuis lors vraisemblablement utilisé toute son épargne pour payer ses frais de séjour, l'évolution de sa situation financière devra faire l'objet de décisions successives du SPC. En troisième lieu, l'assuré estime que le SPC devrait renoncer à prendre en compte un rendement de sa fortune immobilière. Le grief a été admis par le SPC pour l'appartement conjugal, à juste titre, l'assuré ne pouvant pas le louer puisque la jouissance du logement est attribuée à l'épouse par jugement de mesures protectrices de l'union conjugale. Pour ce qui est du chalet, l'assuré ne démontre pas que son état de vétusté est tel qu'il est impossible à louer et même à vendre. Cela ne ressort pas de l'estimation produite, ni de photos, ni d'un contrat de courtage avec une agence immobilière en vue de vendre ce bien. Par contre, si son épouse en dispose et s'y rend pour ses vacances, cela démontre que ce demi chalet, de 106 m2, situé à Troistorrents, r donnant sur la route qui mène à Morgins, à moins d'un kilomètre du centre et des remontées mécaniques de la station de ski de Morgins (cf. Google map) pourrait être loué, de sorte qu'en renonçant à ce produit, l'assuré se dessaisit effectivement de ressources. Le jugement de mesures protectrices n'attribue pas la jouissance exclusive de ce bien à l'épouse et il n'indique pas non plus que le montant de la contribution d'entretien est fixé en tenant compte d'un loyer hypothétique pour l'usage du chalet par l'épouse, de sorte que la prise en compte d'un rendement est justifiée. Le SPC a pris en compte un rendement de 4,5%, soit un montant de 6'975 fr./an, (581 fr./mois) alors que l'agence immobilière ayant procédé à l'estimation du bien a retenu un rendement de 7'500 fr./an (625 fr./mois). Cela ne paraît pas excessif, malgré l'état du chalet, compte tenu des considérations qui précèdent et des prix de location pratiqués en saison dans les stations de montagne. L'assuré ne démontre pas non plus le montant des intérêts hypothécaires versés par son épouse pour le chalet. La moitié de 6'975 fr., soit 3'487 fr. 50 au titre de revenu dont l'assuré s'est dessaisi peut donc être retenu par le SPC. Sur ce point, le recours est mal fondé.</w:t>
      </w:r>
    </w:p>
    <w:p>
      <w:r>
        <w:t>A/1055/2011 - 13/14 - Ainsi, outre les intérêts de l'épargne, qui ne sont pas contestés, le produit des biens immobiliers doit être ramené à 3'487 fr. 50.</w:t>
      </w:r>
    </w:p>
    <w:p>
      <w:r>
        <w:rPr>
          <w:b/>
        </w:rPr>
        <w:t>E. 9</w:t>
      </w:r>
    </w:p>
    <w:p>
      <w:r>
        <w:t>Il ressort des considérations qui précèdent que le total des revenus de l'assuré au 1er décembre 2009 est ramené de 155'789 fr. à 126'282 fr., ce qui, eu égard au total des dépenses reconnues de 131'119 fr., ouvre le droit aux prestations fédérales pour l'assuré. Il conviendra ainsi de procéder au calcul pour les prestations cantonales.</w:t>
      </w:r>
    </w:p>
    <w:p>
      <w:r>
        <w:rPr>
          <w:b/>
        </w:rPr>
        <w:t>E. 10</w:t>
      </w:r>
    </w:p>
    <w:p>
      <w:r>
        <w:t>Ainsi, le recours est partiellement admis, la décision du 10 mars 2011 est annulée et la cause est renvoyée au SPC pour nouvelle décision au sens des considérants.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1'500 fr.</w:t>
      </w:r>
    </w:p>
    <w:p>
      <w:r>
        <w:t>A/1055/2011 - 14/14 - PAR CES MOTIFS, LA CHAMBRE DES ASSURANCES SOCIALES : Statuant A la forme : 1. Déclare le recours recevable. Au fond : 2. L'admet partiellement, annule la décision du 10 mars 2011 et renvoie la cause à l'intimé pour nouvelle décision au sens des considérants. 3. Dit que la procédure est gratuite. 4. Condamne l'intimé à verser au recourant une indemnité de procédure de 1'500 fr.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