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ATAS/744/2023 vom 5. Oktober 2023</w:t>
      </w:r>
    </w:p>
    <w:p>
      <w:r>
        <w:t>GE Cour de justice, 2023-10-05, FR</w:t>
      </w:r>
    </w:p>
    <w:p>
      <w:r>
        <w:rPr>
          <w:b/>
        </w:rPr>
        <w:t xml:space="preserve">Quelle: </w:t>
      </w:r>
      <w:r>
        <w:t>https://mcp.opencaselaw.ch/entscheid/ge_gerichte_ATAS_744_2023</w:t>
      </w:r>
    </w:p>
    <w:p>
      <w:r>
        <w:t>FR: GE_GERICHTE ATAS/744/2023 du 5 octobre 2023</w:t>
      </w:r>
    </w:p>
    <w:p>
      <w:r>
        <w:t>IT: GE_GERICHTE ATAS/744/2023 del 5 ottobre 2023</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w:t>
      </w:r>
    </w:p>
    <w:p>
      <w:r>
        <w:t>A/190/2023 - 7/18 -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délai de recours est de 30 jours (art. 56 LPGA ; art. 62 al. 1 de la loi sur la procédure administrative du 12 septembre 1985 [LPA - E 5 10]). Interjeté dans la forme et le délai prévus par la loi, compte tenu de la suspension des délais pendant la période du 18 décembre au 2 janvier inclusivement (art. 38 al. 4 let. c LPGA et art. 89C let. c LPA), le recours est recevable.</w:t>
      </w:r>
    </w:p>
    <w:p>
      <w:r>
        <w:rPr>
          <w:b/>
        </w:rPr>
        <w:t>E. 4</w:t>
      </w:r>
    </w:p>
    <w:p>
      <w:r>
        <w:t>Le litige porte sur la question de savoir si l’intimée doit prendre en charge, au-delà du 11 septembre 2022, les frais et indemnités journalières découlant de l’événement du 22 mai 2022.</w:t>
      </w:r>
    </w:p>
    <w:p>
      <w:r>
        <w:rPr>
          <w:b/>
        </w:rPr>
        <w:t>E. 5.1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w:t>
      </w:r>
    </w:p>
    <w:p>
      <w:r>
        <w:rPr>
          <w:b/>
        </w:rPr>
        <w:t>E. 5.2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w:t>
      </w:r>
    </w:p>
    <w:p>
      <w:r>
        <w:t>A/190/2023 - 8/18 -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rPr>
          <w:b/>
        </w:rPr>
        <w:t>E. 5.3</w:t>
      </w:r>
    </w:p>
    <w:p>
      <w:r>
        <w:t>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6.1</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w:t>
      </w:r>
    </w:p>
    <w:p>
      <w:r>
        <w:t>A/190/2023 - 9/18 -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6.2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w:t>
      </w:r>
    </w:p>
    <w:p>
      <w:r>
        <w:t>A/190/2023 - 10/18 -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7.2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w:t>
      </w:r>
    </w:p>
    <w:p>
      <w:r>
        <w:t>A/190/2023 - 11/18 - les conclusions de l'expert soient bien motivées (ATF 134 V 231 consid. 5.1 ;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7.4</w:t>
      </w:r>
    </w:p>
    <w:p>
      <w:r>
        <w:t>Une appréciation médicale, respectivement une expertise médicale établie sur la base d'un dossier n’est pas en soi sans valeur probante. Une expertise médicale établie sur la base d'un dossier peut avoir valeur probante pour autant que celui-ci</w:t>
      </w:r>
    </w:p>
    <w:p>
      <w:r>
        <w:t>A/190/2023 - 12/18 -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7.5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w:t>
      </w:r>
    </w:p>
    <w:p>
      <w:r>
        <w:t>A/190/2023 - 13/18 -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ATF 122 V 157 consid. 1d).</w:t>
      </w:r>
    </w:p>
    <w:p>
      <w:r>
        <w:t>A/190/2023 - 14/18 -</w:t>
      </w:r>
    </w:p>
    <w:p>
      <w:r>
        <w:rPr>
          <w:b/>
        </w:rPr>
        <w:t>E. 12</w:t>
      </w:r>
    </w:p>
    <w:p>
      <w:r>
        <w:t>En l’espèce, le recourant allègue que l’événement du 22 mai 2022 doit être considéré comme un accident et que l’avis du médecin des assurances n’est pas déterminant, raison pour laquelle une expertise doit être ordonnée. De surcroît, même si les conditions d’un accident n’étaient pas remplies, il allègue que la lésion doit être considérée comme assimilée à un accident.</w:t>
      </w:r>
    </w:p>
    <w:p>
      <w:r>
        <w:t>L’intimée, de son côté, se fondant sur l’appréciation de son médecin d’arrondissement considère, d’une part, qu’il est douteux que les conditions d’un accident aient été réalisées lors de l’événement du 22 mai 2022 et que, d’autre part, il n’y a pas trace d’une lésion assimilée dans l’IRM qui a été effectuée le 1er juin 2022. À bien plaire et s’en rapportant à justice, la SUVA accepte de prendre à sa charge les frais de traitements et les indemnités journalières jusqu’au 11 septembre 2022 (ce qui correspond à la décision querellée) après quoi l’assurance-maladie du recourant les prendra en charge.</w:t>
      </w:r>
    </w:p>
    <w:p>
      <w:r>
        <w:rPr>
          <w:b/>
        </w:rPr>
        <w:t>E. 12.1</w:t>
      </w:r>
    </w:p>
    <w:p>
      <w:r>
        <w:t>Si l’on reprend les circonstances de l’événement du 22 mai 2022 telles qu’elles ont été décrites par l’assuré, ce dernier a ressenti une vive « douleur au poignet droit suite à l’essorage d’un torchon par torsion manuelle ».</w:t>
      </w:r>
    </w:p>
    <w:p>
      <w:r>
        <w:t>D’emblée, on observe que par rapport à la définition de l’accident selon l’art. 4 LPGA, « la cause extérieure extraordinaire » fait défaut.</w:t>
      </w:r>
    </w:p>
    <w:p>
      <w:r>
        <w:t>Il sied de rappeler que selon la jurisprudence,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w:t>
      </w:r>
    </w:p>
    <w:p>
      <w:r>
        <w:t>La chambre de céans considère qu’il est établi au degré de la vraisemblance prépondérante que l’événement du 22 mai 2022 ne remplit pas les conditions permettant de le qualifier comme un accident au sens de l’art. 4 LPGA.</w:t>
      </w:r>
    </w:p>
    <w:p>
      <w:r>
        <w:rPr>
          <w:b/>
        </w:rPr>
        <w:t>E. 12.2</w:t>
      </w:r>
    </w:p>
    <w:p>
      <w:r>
        <w:t>Reste la possibilité, en fonction des éventuelles lésions qui ont pu apparaître suite à cet événement, de le considérer comme une lésion assimilée à un accident au sens de l’art. 6 al. 2 LAA.</w:t>
      </w:r>
    </w:p>
    <w:p>
      <w:r>
        <w:t>Le document permettant d’établir si une telle lésion était présente juste après l’événement est le rapport d’arthrographie et arthro-IRM du 1er juin 2022 effectué par le radiologue C______.</w:t>
      </w:r>
    </w:p>
    <w:p>
      <w:r>
        <w:t>Ledit rapport est avant tout destiné à examiner les suites de l’opération chirurgicale effectuée en octobre 2021, soit le status post réinsertion du TFCC. Les suites de l’opération sont décrites en détail sur le plan osseux et cartilagineux. S’agissant de la description sur le plan tendineux et ligamentaire, il ressort clairement du rapport du radiologue qu’il n’y a « pas d’image de lésion transfixiante », qu’il existe une</w:t>
      </w:r>
    </w:p>
    <w:p>
      <w:r>
        <w:t>A/190/2023 - 15/18 - « intégrité des ligaments de la première rangée des os du carpe », il est attesté de « l’intégrité des différentes structures tendineuses ». Dans ses conclusions, le radiologue note une absence d’argument en faveur d’une lésion des ligaments de la première rangée des os du carpe ainsi que l’intégrité des différentes structures tendineuses. Il relève également une petite fissuration non transfixiante de la face profonde de l’attache radiale du TFCC.</w:t>
      </w:r>
    </w:p>
    <w:p>
      <w:r>
        <w:t>Lors de sa consultation médicale de suivi du 27 juin 2022, soit un mois après l’événement, le médecin traitant du recourant, la Dre B______, rappelle la fissuration non transfixiante de la face profonde de l’attache radiale du TFCC qui apparait dans l’IRM mais elle ne fait mention d’aucune lésion pouvant être assimilée au sens de l’art. 6 al. 2 LAA.</w:t>
      </w:r>
    </w:p>
    <w:p>
      <w:r>
        <w:t>L’autre médecin traitant du recourant, la Dre E______, dans son courrier du 31 octobre 2022 adressé au médecin d’arrondissement de la SUVA, rappelle la fissuration non transfixiante de la face profonde de l’attache radiale du TFCC qui ressort de l’arthro-IRM du 11 (recte : 1er) juin 2022, mais ne mentionne la présence d’aucune lésion pouvant être assimilée au sens de l’art. 6 al.2 LAA.</w:t>
      </w:r>
    </w:p>
    <w:p>
      <w:r>
        <w:t>En ce qui concerne le médecin d’arrondissement, le Dr D______, il sied de rappeler qu’il dispose des connaissances et d’expériences particulièrement développées en traumatologie ; les compétences des médecins d’arrondissement des assureurs ont d’ailleurs été reconnues par le Tribunal fédéral dans son arrêt du 2 novembre 2022, 8C_355/2022 consid. 7.2 « Denn praxisgemäss sind die Kreisärzte nach ihrer Funktion und beruflichen Stellung Fachärzte im Bereich der Unfallmedizin. Da sie ausschliesslich Unfallpatienten, Körperschädigungen im Sinne des Art. 6 Abs. 2 UVG (früher: unfallähnliche Körperschädigungen gemäss Art. 9 Abs. 2 aUVV) ».</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t>En l’occurence, il n’existe aucune appréciation d’un médecin traitant ou d’un expert privé qui laisserait subsister des doutes, même faibles quant à la fiabilité et la pertinence de l’appréciation du Dr D______. En particulier, le courrier</w:t>
      </w:r>
    </w:p>
    <w:p>
      <w:r>
        <w:t>A/190/2023 - 16/18 - du 31 octobre 2022 de la Dre E______ ne contient aucun élément qui pourrait contredire l’appréciation du médecin des assurances.</w:t>
      </w:r>
    </w:p>
    <w:p>
      <w:r>
        <w:t>Le Dr D______ s’est déterminé avec clarté dans son appréciation médicale du 4 octobre 2022, mentionnant que compte tenu de la normalité de l’IRM réalisée dans les suites immédiates du sinistre annoncé (soit le 1er juin 2022), il ne retient aucune atteinte à la santé au degré de la vraisemblance prépondérante qui puisse être causée par le sinistre annoncé.</w:t>
      </w:r>
    </w:p>
    <w:p>
      <w:r>
        <w:t>Commentant l’IRM, il rappelle que cette dernière ne montre aucune anomalie ligamentaire, uniquement une petite fissuration non transfixiante de la face profonde de l’attache radiale du TCC. Il mentionne encore que le status post réinsertion du TFCC est satisfaisant, sans aucune lésion nouvelle et sa conclusion est qu’il n’y a pas de conséquences ligamentaires objectivables et transfixiantes - selon l’IRM du 1er juin 2022 - de la torsion du poignet avec le torchon. Il ajoute que la petite fissuration qui ne transperce pas le TFCC ne peut pas être considérée comme associée à la torsion dès lors qu’il s’agit d’un mouvement à basse énergie et ne peut pas non plus à être à l’origine des symptômes car il n’y a pas de modification mécanique dès lors que l’attache du ligament est confirmée par l’absence de lésion transfixiante.</w:t>
      </w:r>
    </w:p>
    <w:p>
      <w:r>
        <w:t>Le médecin d’arrondissement rappelle également que la santé de la personne assurée était affectée avant l’événement du 22 mai 2022, d’une manière manifeste dès lors qu’elle avait fait l’objet d’une intervention chirurgicale au mois d’octobre 2021, soit quelque mois avant l’événement de mai 2022, pour un problème d’accident ne concernant pas la SUVA.</w:t>
      </w:r>
    </w:p>
    <w:p>
      <w:r>
        <w:t>Finalement, le Dr D______ s’en remet à l’appréciation de l’administration en ce qui concerne la notion d’accident, car il ne s’agit pas de sa compétence.</w:t>
      </w:r>
    </w:p>
    <w:p>
      <w:r>
        <w:t>Il note toutefois que si l’administration devait accepter la notion d’accident, « il pourrait accepter que le sinistre annoncé a pu déstabiliser temporairement l’état antérieur et ceci jusqu’à la date de réalisation de l’IRM, qui confirme l’absence de lésion objective liée à cet événement ».</w:t>
      </w:r>
    </w:p>
    <w:p>
      <w:r>
        <w:t>Compte tenu de ces éléments, la chambre de céans considère qu’il est établi, au degré de la vraisemblance prépondérante, que l’événement du 22 mai 2022 n’a pas eu pour conséquence une lésion assimilée au sens de l’art. 6 al. 2 LAA.</w:t>
      </w:r>
    </w:p>
    <w:p>
      <w:r>
        <w:t>Dès lors, la charge de la preuve appartient au recourant, puisque ce n’est que dans le cas d’une lésion assimilée que l’assureur à la charge de la preuve libératoire, soit de prouver que la lésion est principalement due à une usure ou maladie. Or, le recourant n’a communiqué aucune pièce médicale pouvant établir ses griefs.</w:t>
      </w:r>
    </w:p>
    <w:p>
      <w:r>
        <w:rPr>
          <w:b/>
        </w:rPr>
        <w:t>E. 12.3</w:t>
      </w:r>
    </w:p>
    <w:p>
      <w:r>
        <w:t>Enfin, en ce qui concerne la demande d’expertise indépendante formulée par le recourant, il sied de rappeler que le juge peut accorder pleine valeur probante aux rapports et expertises établis par les médecins d'un assureur social aussi longtemps que ceux-ci aboutissent à des résultats convaincants, que leurs conclusions sont</w:t>
      </w:r>
    </w:p>
    <w:p>
      <w:r>
        <w:t>A/190/2023 - 17/18 - sérieusement motivées, que ces avis ne contiennent pas de contradictions et qu'aucun indice concret ne permet de mettre en cause leur bien-fondé.</w:t>
      </w:r>
    </w:p>
    <w:p>
      <w:r>
        <w:t>En l’occurrence, les conclusions du Dr D______ sont sérieusement motivées et il n’existe pas de contradictions dans ses appréciations. Aucun indice concret ne permet de remettre en cause leur bien-fondé. Son appréciation médicale présente une valeur probante.</w:t>
      </w:r>
    </w:p>
    <w:p>
      <w:r>
        <w:t>La chambre de céans constate que, sur la base des documents rassemblés dans le dossier, il n’existe aucun doute, même minime, sur la fiabilité et la validité des constatations d'un médecin de l'assurance, ce qui implique qu’il n’y a pas lieu de procéder à des investigations complémentaires (ATF 145 V 97 consid. 8.5 et les références ; ATF 142 V 58 consid. 5.1 et les références ; ATF 139 V 225 consid. 5.2 et les références ; ATF 135 V 465 consid. 4.4 et les références).</w:t>
      </w:r>
    </w:p>
    <w:p>
      <w:r>
        <w:t>Partant, et par appréciation anticipée des preuves, la chambre de céans fait siennes les conclusions du médecin d’arrondissement et considère qu’il n’est pas nécessaire de procéder à une expertise judiciaire.</w:t>
      </w:r>
    </w:p>
    <w:p>
      <w:r>
        <w:t>S’agissant de la demande de comparution personnelle du recourant, réitérée par courrier de son mandataire du 29 septembre 2023, en suivant le même raisonnement d’appréciation anticipée, la chambre de céans ne juge pas nécessaire d’entendre le recourant, ce dernier s’étant largement exprimé dans le cadre de la procédure. Par ailleurs, l’état de fait, soit les circonstances de l’événement, est clairement établi et les appréciations d’événement « accidentel » que le recourant prête à ses médecins traitants ne sont soutenues par aucun document médical.</w:t>
      </w:r>
    </w:p>
    <w:p>
      <w:r>
        <w:rPr>
          <w:b/>
        </w:rPr>
        <w:t>E. 13</w:t>
      </w:r>
    </w:p>
    <w:p>
      <w:r>
        <w:t>Au vu de ce qui précède, le recours est rejeté.</w:t>
      </w:r>
    </w:p>
    <w:p>
      <w:r>
        <w:rPr>
          <w:b/>
        </w:rPr>
        <w:t>E. 14</w:t>
      </w:r>
    </w:p>
    <w:p>
      <w:r>
        <w:t>Pour le surplus, la procédure est gratuite (art. 61 let. fbis LPGA a contrario).</w:t>
      </w:r>
    </w:p>
    <w:p>
      <w:r>
        <w:t>A/190/2023 - 18/18 -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