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ATAS/744/2020 vom 7. September 2020</w:t>
      </w:r>
    </w:p>
    <w:p>
      <w:r>
        <w:t>GE Cour de justice, 2020-09-07, FR</w:t>
      </w:r>
    </w:p>
    <w:p>
      <w:r>
        <w:rPr>
          <w:b/>
        </w:rPr>
        <w:t xml:space="preserve">Quelle: </w:t>
      </w:r>
      <w:r>
        <w:t>https://mcp.opencaselaw.ch/entscheid/ge_gerichte_ATAS_744_2020</w:t>
      </w:r>
    </w:p>
    <w:p>
      <w:r>
        <w:t>FR: GE_GERICHTE ATAS/744/2020 du 7 septembre 2020</w:t>
      </w:r>
    </w:p>
    <w:p>
      <w:r>
        <w:t>IT: GE_GERICHTE ATAS/744/2020 del 7 settembre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En ce qui concerne la recevabilité du recours, la chambre de céans relève ce qui suit. a. Selon l'art. 49 LPGA, l’assureur doit rendre par écrit les décisions qui portent sur des prestations, créances ou injonctions importantes ou avec lesquelles l’intéressé</w:t>
      </w:r>
    </w:p>
    <w:p>
      <w:r>
        <w:t>A/659/2020 - 5/7 - n’est pas d’accord (al. 1). Si le requérant rend vraisemblable un intérêt digne d’être protégé, l’assureur rend une décision en constatation (al. 2). La décision n'est pas définie dans la LPGA. Elle correspond cependant à la notion de décision au sens de l'art. 5 de la loi sur la procédure administrative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Cette définition correspond presque exactement à celle prévue en droit cantonal, contenue à l’art. 4 al. 1 de la loi sur la procédure administrative (LPA - E 5 10), dont la teneur est la suivante : sont considérées comme des décisions au sens de l’article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b. Sur le plan formel, l’art. 49 al. 3 LPGA prévoit que les décisions indiquent les voies de droit. Elles doivent être motivées si elles ne font pas entièrement droit aux demandes des parties. La notification irrégulière d’une décision ne doit entraîner aucun préjudice pour l’intéressé. En outre, l’art. 46 al. 1 LPA précise que les décisions doivent être désignées comme telles, motivées et signées, et indiquer les voies et délais de recours. En cas de communication électronique au sens de l’article 18A, une signature manuscrite n’est pas exigée. c.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Lorsqu’aucune décision n’a été rendue, le recours est irrecevable (ATF 131 V 202 consid. 2.1).</w:t>
      </w:r>
    </w:p>
    <w:p>
      <w:r>
        <w:t>A/659/2020 - 6/7 - d.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(Cst - RS 101) (arrêt du Tribunal fédéral 9C_687/2008 du 12 mars 2009 consid. 3.1).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w:t>
      </w:r>
    </w:p>
    <w:p>
      <w:r>
        <w:rPr>
          <w:b/>
        </w:rPr>
        <w:t>E. 3</w:t>
      </w:r>
    </w:p>
    <w:p>
      <w:r>
        <w:t>En l’espèce, force est de constater que le courrier de l’intimée du 21 janvier 2020 ne constitue pas une décision au sens formel. Au plan matériel, il ne peut pas non plus être considéré comme une décision dès lors que l'intimée s'est contentée d'y donner certaines explications au recourant, sans nouvellement statuer sur l'existence de droits ou d'obligations. Partant, le recours doit être déclaré irrecevable. S’agissant du recours pour déni de justice, il n’a pas d’objet dans la mesure où la chambre de céans a déjà invité l’intimée à statuer, le cas échant, de façon formelle sur les points que le recourant voulait voir trancher (ATAS/343/2020).</w:t>
      </w:r>
    </w:p>
    <w:p>
      <w:r>
        <w:rPr>
          <w:b/>
        </w:rPr>
        <w:t>E. 4</w:t>
      </w:r>
    </w:p>
    <w:p>
      <w:r>
        <w:t>Si la procédure est en principe gratuite, l’art. 61 let. a 2ème phrase LPGA prévoit que des émoluments de justice et les frais de procédure peuvent être mis à la charge de la partie qui agit de manière téméraire ou témoigne de légèreté.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En l’espèce, le recourant a déjà fait valoir des arguments juridiques identiques dans un précédent recours. La chambre de céans l’avait alors averti qu’en cas de nouveau recours contre un refus de l'intimée de rendre une nouvelle décision sur des points déjà tranchés de manière définitive, des dépens pourraient être mis à sa charge (ATAS 343/2020). Toutefois, dans la mesure où, le recours a été déposé le 21 février 2020 dans la présente procédure et que la chambre de céans a rendu l’arrêt précité le 4 mai 2020, il ne sera pas mis de dépens à sa charge.</w:t>
      </w:r>
    </w:p>
    <w:p>
      <w:r>
        <w:t>A/659/2020 - 7/7 -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