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ATAS/744/2018 vom 28. August 2018</w:t>
      </w:r>
    </w:p>
    <w:p>
      <w:r>
        <w:t>GE Cour de justice, 2018-08-28, FR</w:t>
      </w:r>
    </w:p>
    <w:p>
      <w:r>
        <w:rPr>
          <w:b/>
        </w:rPr>
        <w:t xml:space="preserve">Quelle: </w:t>
      </w:r>
      <w:r>
        <w:t>https://mcp.opencaselaw.ch/entscheid/ge_gerichte_ATAS_744_2018</w:t>
      </w:r>
    </w:p>
    <w:p>
      <w:r>
        <w:t>FR: GE_GERICHTE ATAS/744/2018 du 28 août 2018</w:t>
      </w:r>
    </w:p>
    <w:p>
      <w:r>
        <w:t>IT: GE_GERICHTE ATAS/744/2018 del 28 agosto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le contrat d’assurance indemnités journalières n° 60028087 conclu entre l’employeur et la demanderesse, les conditions générales d’assurance Helsana Business Salary perte de gain maladie selon la LCA, édition 2014 (ci-après : CGA), sont applicables. L’art. 2.5 CGA prévoit que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w:t>
      </w:r>
    </w:p>
    <w:p>
      <w:r>
        <w:t>A/834/2018 - 6/11 -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l’art. 38 CGA prévoit que pour toutes les actions au sujet du contrat d’assurance, sont compétents au choix soit les tribunaux du domicile suisse du preneur d’assurance ou de l’ayant droit. La défenderesse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w:t>
      </w:r>
    </w:p>
    <w:p>
      <w:r>
        <w:rPr>
          <w:b/>
        </w:rPr>
        <w:t>E. 4</w:t>
      </w:r>
    </w:p>
    <w:p>
      <w:r>
        <w:t>Le litige porte sur le droit de la demanderesse de réclamer à la défenderesse le remboursement d’un montant de CHF 50'787.-, correspondant à l’intégralité des indemnités journalières versées du 9 octobre 2015 au 28 févier 2017.</w:t>
      </w:r>
    </w:p>
    <w:p>
      <w:r>
        <w:rPr>
          <w:b/>
        </w:rPr>
        <w:t>E. 5</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La demande doit dès lors être rejetée. Pour le surplus, il n'est pas alloué de dépens à la charge de la demanderesse (art. 22 al. 3 let. b de la loi d'application du code civil suisse et d’autres lois fédérales en matière civile du 11 octobre 2012 [LaCC - E 1 05]), ni perçu de frais judiciaires (art. 114 let. e CPC).</w:t>
      </w:r>
    </w:p>
    <w:p>
      <w:r>
        <w:t>A/834/2018 - 11/11 -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