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ATAS/744/2016 vom 21. September 2016</w:t>
      </w:r>
    </w:p>
    <w:p>
      <w:r>
        <w:t>GE Cour de justice, 2016-09-21, FR</w:t>
      </w:r>
    </w:p>
    <w:p>
      <w:r>
        <w:rPr>
          <w:b/>
        </w:rPr>
        <w:t xml:space="preserve">Quelle: </w:t>
      </w:r>
      <w:r>
        <w:t>https://mcp.opencaselaw.ch/entscheid/ge_gerichte_ATAS_744_2016</w:t>
      </w:r>
    </w:p>
    <w:p>
      <w:r>
        <w:t>FR: GE_GERICHTE ATAS/744/2016 du 21 septembre 2016</w:t>
      </w:r>
    </w:p>
    <w:p>
      <w:r>
        <w:t>IT: GE_GERICHTE ATAS/744/2016 del 21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1er al. 1 LAA, les dispositions de la LPGA s’appliquent à l’assurance-accidents, à moins que la loi n’y déroge expressément. Toutefois, les modifications contenues dans la LPGA constituent, en règle générale, une version formalisée dans la loi de la jurisprudence relative aux notions correspondantes avant l’entrée en vigueur de la LPGA ; il n’en découle aucune</w:t>
      </w:r>
    </w:p>
    <w:p>
      <w:r>
        <w:t>A/2120/2015 - 14/25 - modification du point de vue de leur contenu, de sorte que la jurisprudence développée à leur propos peut être reprise et appliquée (ATF 130 V 343 consid. 3).</w:t>
      </w:r>
    </w:p>
    <w:p>
      <w:r>
        <w:rPr>
          <w:b/>
        </w:rPr>
        <w:t>E. 3</w:t>
      </w:r>
    </w:p>
    <w:p>
      <w:r>
        <w:t>Le délai de recours est de trente jours (art. 60 al. 1 LPGA). Interjeté dans la forme et le délai prévus par la loi, le recours est recevable, en vertu des art. 56 ss LPGA.</w:t>
      </w:r>
    </w:p>
    <w:p>
      <w:r>
        <w:rPr>
          <w:b/>
        </w:rPr>
        <w:t>E. 4</w:t>
      </w:r>
    </w:p>
    <w:p>
      <w:r>
        <w:t>Le litige porte sur la question de savoir si l’intervention chirurgicale du 29 août 2014 et l’incapacité de travail totale qui s’en est suivie jusqu’au 31 mars 2015 doivent être pris en charge par l’intimée.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b.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w:t>
      </w:r>
    </w:p>
    <w:p>
      <w:r>
        <w:t>A/2120/2015 - 15/25 -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w:t>
      </w:r>
    </w:p>
    <w:p>
      <w:r>
        <w:t>A/2120/2015 - 16/25 - rechercher l'étiologie et de vérifier, sur cette base, l'existence du rapport de causalité avec l'événement assuré.</w:t>
      </w:r>
    </w:p>
    <w:p>
      <w:r>
        <w:rPr>
          <w:b/>
        </w:rPr>
        <w:t>E. 8</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(arrêt du Tribunal fédéral des assurances du 20 août 1997consid. 2b; ATF 116 V 152, consid. 4d). Les constats accessoires s’ajoutant à la lésion de la liste qui sont devenus symptomatiques du fait de</w:t>
      </w:r>
    </w:p>
    <w:p>
      <w:r>
        <w:t>A/2120/2015 - 17/25 -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w:t>
      </w:r>
    </w:p>
    <w:p>
      <w:r>
        <w:t>A/2120/2015 - 18/25 -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w:t>
      </w:r>
    </w:p>
    <w:p>
      <w:r>
        <w:t>b.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w:t>
      </w:r>
    </w:p>
    <w:p>
      <w:r>
        <w:rPr>
          <w:b/>
        </w:rPr>
        <w:t>E. 11</w:t>
      </w:r>
    </w:p>
    <w:p>
      <w:r>
        <w:t>a. Les prestations d'assurance sont également allouées en cas de rechutes et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w:t>
      </w:r>
    </w:p>
    <w:p>
      <w:r>
        <w:t>b. Lorsque l’assureur et l’assuré sont en désaccord au sujet de la prolongation du droit à la prise en charge de prestations qui peuvent être qualifiées d’importantes, la clôture du cas doit être signifiée au moyen d’une décision formelle (ATF 132 V 412 consid. 4). Si cette communication prend la forme d’un simple courrier, celui-ci acquiert en principe force obligatoire lorsque l’assuré ne soulève pas d’objections dans un délai d’une année (ATF 134 V 145). En revanche, lorsqu’à un moment donné, des prestations ne sont plus à l’ordre du jour, il peut aussi y avoir rechute, même lorsque l’assureur n’a pas averti l’assuré qu’il clôturait le cas et qu’il mettait fin aux prestations. Ce qui est décisif dans ce dernier cas de figure, c’est de savoir si</w:t>
      </w:r>
    </w:p>
    <w:p>
      <w:r>
        <w:t>A/2120/2015 - 19/25 - à l’époque, on pouvait partir du principe qu’à l’avenir, la nécessité de soins et/ou d’un arrêt de travail ne se manifesteraient plus. Cet examen doit avoir lieu ex ante en prenant en considération les circonstances du cas d’espèce. À cet égard, la nature de la lésion et l’évolution que celle-ci a connue jouent un rôle décisif : en présence d’un accident relativement bénin, suivi d’un processus de guérison favorable et ayant nécessité des prestations d’assurance pendant une période relativement brève, on admettra plus aisément une clôture tacite du cas qu’en présence d’un processus de guérison compliqué. En revanche, le droit aux prestations doit être examiné à la lumière de l’accident initial, et non d’une rechute, lorsqu’au cours de la période sans prestations d’assurance, l’assuré a continué à souffrir des troubles apparus avec l’accident initial et/ou s’il existe des symptômes de pont [Brückensymptome] qui permettent de considérer les événements comme formant un tout durant la période en question (arrêt 8C_102/2008 précité consid. 4.1 et arrêt du Tribunal fédéral 8C_433/2007 du 26 août 2008 consid. 2.3 et les références).</w:t>
      </w:r>
    </w:p>
    <w:p>
      <w:r>
        <w:rPr>
          <w:b/>
        </w:rPr>
        <w:t>E. 12</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b. Sans remettre en cause le principe de la libre appréciation des preuves, le Tribunal fédéral des assurances a posé des lignes directrices en ce qui concerne la manière d'apprécier certains types d'expertises ou de rapports médicaux (ATF 125 V 351 consid. 3b).</w:t>
      </w:r>
    </w:p>
    <w:p>
      <w:r>
        <w:t>A/2120/2015 - 20/25 -</w:t>
      </w:r>
    </w:p>
    <w:p>
      <w:r>
        <w:t>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w:t>
      </w:r>
    </w:p>
    <w:p>
      <w:r>
        <w:t>A/2120/2015 - 21/25 -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l’espèce, il est constant qu’à la suite d’un accident de la circulation routière survenu le 15 septembre 2011, le recourant a subi une atteinte à l’épaule droite et au genou gauche mais qu’à compter de l’examen effectué le 1er mai 2012 par le Dr J______, seuls les troubles de cette épaule étaient encore d’actualité. Considérant le 4 juin 2013 que l’état du tendon sus-épineux ne s’était pas modifié au cours des dernières années et que la situation ne se modifierait plus à l’avenir – sauf aggravation éventuelle due à des lésions dégénératives – ce médecin avait proposé à l’intimée de clôturer le cas et, le 6 juin 2014, évalué à 5% l’indemnité pour atteinte à l’intégrité corporelle (IPAI). L’intimée n’a cependant pas rendu de décision de clôture du cas ni de décision d’octroi d’une indemnité pour atteinte à l’intégrité (IPAI). Elle a au contraire maintenu le versement d’indemnités journalières en fonction d’une incapacité de travail qui n’a jamais diminué à moins de 50% depuis le 23 janvier 2012, cette situation étant encore d’actualité à la date de la décision querellée. Si dans cette dernière, l’intimée ne remet pas en question cette incapacité et les indemnités journalières qui en découlent, elle conteste l’obligation de prendre en charge l’intervention chirurgicale du 29 août 2014 et – malgré les arrêts de travail à 100% du Dr M______ du 28 août 2014 au 31 mars 2015 – des indemnités journalières supérieures à 50% au décours de cette intervention, cette position étant motivée par l’avis médical du 28 octobre 2014 du médecin d’arrondissement de l’intimée.</w:t>
      </w:r>
    </w:p>
    <w:p>
      <w:r>
        <w:t>Dans cette appréciation, la Dresse O______ indique que l’intervention subie le 29 août 2014 visait à traiter des lésions dégénératives de l’épaule et qu’elle ne concernait donc pas l’intimée, référence étant faite à l’avis du Dr J______ du 4 juin 2013 pour seule motivation. Ce dernier invoque certes des lésions dégénératives qui pourraient aggraver la situation. Il n’indique toutefois pas si ces dernières ont été causées ou aggravées par l’accident du 15 septembre 2011, de sorte qu’il n’est pas possible de savoir si l’intervention chirurgicale du 29 août 2014 et ses suites sont imputables – ne serait-ce que partiellement – à l’accident du 15 septembre 2011. Ainsi, en l’absence de description des interférences médicales entre l’accident et d’autres événements qui, considérés isolément, ne sont pas nécessairement assurés, les rapports de ces deux médecins d’arrondissement sont dépourvus de toute valeur</w:t>
      </w:r>
    </w:p>
    <w:p>
      <w:r>
        <w:t>A/2120/2015 - 22/25 - probante. Pour le reste, certains avis médicaux versés au dossier divergent sur la question de savoir si l’intervention du Dr M______ était motivée par des diagnostics présentant un lien de causalité avec l’accident. Dans ses réponses du 3 novembre 2015, la Dresse R______ prend certes position à ce sujet mais sans avoir examiné le recourant ni l’intégralité du dossier médical. Ainsi, la chambre de céans ne saurait se fonder sur cette appréciation et encore moins sur les avis du Dr M______, peu clairs et en partie incohérents. Enfin, il subsiste un certain flou, voire des divergences dans les diagnostics posés par les divers spécialistes en orthopédie intervenus dans ce dossier.</w:t>
      </w:r>
    </w:p>
    <w:p>
      <w:r>
        <w:t>En l’état actuel de l’instruction du cas, la chambre de céans n’est donc pas en mesure de se prononcer et n’a pas d’autre alternative que de mettre en œuvre une expertise.</w:t>
      </w:r>
    </w:p>
    <w:p>
      <w:r>
        <w:t>A/2120/2015 - 23/25 - PAR CES MOTIFS, LA CHAMBRE DES ASSURANCES SOCIALES : Statuant préparatoirement 1. Ordonne une expertise orthopédique, l’expert ayant pour mission d’examiner et d’entendre Monsieur A______, après s’être entouré de tous les éléments utiles et après avoir pris connaissance du dossier (y compris le dossier radiologique) de l’intimée et du recourant, ainsi que du dossier de la présente procédure, en s’entourant de l’avis de tiers au besoin. 2. Commet à cette fin le docteur S______, spécialiste FMH en chirurgie orthopédique. 3. Charge l’expert de répondre aux questions suivantes : 1. Anamnèse détaillée. 2. Donnée subjectives du recourant. 3. Constatations objectives. 4. Diagnostic(s) précis. 5. Indiquer depuis quand ces atteintes sont présentes chez le recourant et comment elles ont évolué. Décrire leur évolution avant l’accident du 15 septembre 2011 et après. 6. Dire si la/les lésion(s) de l’épaule droite du recourant sont imputables à l’événement accidentel du 15 septembre 2011 et, si oui, laquelle/lesquelles. 7. Le recourant présente-t-il des atteintes dégénératives préexistantes de l’épaule droite ? Dans l’affirmative, quelles sont ces atteintes et quel est leur degré de gravité ? Veuillez détailler et motiver votre réponse. 8. Veuillez indiquer quelles sont les limitations fonctionnelles. 9. Quels ont été les diagnostics révélés par les diverses IRM/arthro-IRM de l’épaule droite versées au dossier ? Lesquels correspondent à une lésion corporelle figurant à l’art. 9 al. 2 OLAA ? S’agissant des diagnostics qui, à l’épaule droite, correspondent à une lésion corporelle figurant à l’art. 9 al. 2 OLAA : a. Ces atteintes sont-elles d’origine exclusivement dégénérative ? Veuillez motiver. b. L’accident du 15 septembre 2011 a-t-il joué un rôle, même partiel, dans la survenance de ces atteintes ? En d’autres termes, l’accident est-il une cause possible, au moins à titre partiel, de ces atteintes ?</w:t>
      </w:r>
    </w:p>
    <w:p>
      <w:r>
        <w:t>A/2120/2015 - 24/25 - c. En particulier, les atteintes ayant nécessité l’intervention du 29 août 2014 sont-elles dues à l’accident du 15 septembre 2011 d’une façon possible (moins de 50%), probable (plus de 50%) ou certaine (100%) ? Si l’intervention était justifiée à la fois par des troubles accidentels et maladifs, préciser si l’indication pathologique ou traumatique était prépondérante. d. Le cas échéant, quels sont les facteurs étrangers à l’accident du</w:t>
      </w:r>
    </w:p>
    <w:p>
      <w:r>
        <w:rPr>
          <w:b/>
        </w:rPr>
        <w:t>E. 15</w:t>
      </w:r>
    </w:p>
    <w:p>
      <w:r>
        <w:t>septembre 2011 qui ont contribué, avec ledit accident, à la survenance de ces atteintes ? k. L’accident du 15 septembre 2011 a-t-il déclenché un processus qui serait de toute façon survenu sans cet événement ? l. À partir de quand les facteurs étrangers sont-ils devenus, ou deviennent- ils, au degré de la vraisemblance prépondérante, les seules causes</w:t>
      </w:r>
    </w:p>
    <w:p>
      <w:r>
        <w:t>A/2120/2015 - 25/25 - influant sur l’état de santé du recourant (« statu quo sine » ou « statu quo ante » atteint) ? m. S’agissant des atteintes présentant un lien de causalité probable (plus de 50%) ou certain (100%) avec l’accident du 15 septembre 2011, celles-ci ont-elles entraîné une incapacité de travail ? Si oui, depuis quand et à quel taux ? Comment ce taux a-t-il évolué ? 10. Commenter et discuter les avis des médecins traitants et des médecins- conseils. Si l’expert s’écarte des appréciations et conclusions des Drs J______ et O______, médecins-conseils de la SUVA, ou de la Dresse R______, médecin-conseil de Fortuna Protection Juridique SA, sur la question des diagnostics, des atteintes ayant nécessité l’intervention du 29 août 2014 et/ou du statu quo sine ou ante, veuillez en indiquer les raisons et motiver la réponse. 11. Si l’expert s’écarte des appréciations et conclusions du Dr M______ sur la question de la capacité de travail du recourant au décours de l’intervention du 29 août 2014 (du 28 août 2014 au 31 mars 2015), veuillez en indiquer les raisons et motiver la réponse. 12. Formuler un pronostic global. 13. Toute remarque utile et proposition de l’expert.</w:t>
      </w:r>
    </w:p>
    <w:p>
      <w:r>
        <w:t>4. Invite l’expert à déposer à sa meilleure convenance un rapport en trois exemplaires à la chambre de céans ; 5. Réserve le sort des frais ; 6.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