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ATAS/742/2022 vom 25. August 2022</w:t>
      </w:r>
    </w:p>
    <w:p>
      <w:r>
        <w:t>GE Cour de justice, 2022-08-25, FR</w:t>
      </w:r>
    </w:p>
    <w:p>
      <w:r>
        <w:rPr>
          <w:b/>
        </w:rPr>
        <w:t xml:space="preserve">Quelle: </w:t>
      </w:r>
      <w:r>
        <w:t>https://mcp.opencaselaw.ch/entscheid/ge_gerichte_ATAS_742_2022</w:t>
      </w:r>
    </w:p>
    <w:p>
      <w:r>
        <w:t>FR: GE_GERICHTE ATAS/742/2022 du 25 août 2022</w:t>
      </w:r>
    </w:p>
    <w:p>
      <w:r>
        <w:t>IT: GE_GERICHTE ATAS/742/2022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compétence de la Cour de céans, la recevabilité du recours, le droit applicable et l’objet du litige ont déjà été examinés dans l’ordonnance du 9 février 2022, de sorte qu’on peut y renvoyer.</w:t>
      </w:r>
    </w:p>
    <w:p>
      <w:r>
        <w:rPr>
          <w:b/>
        </w:rPr>
        <w:t>E. 2</w:t>
      </w:r>
    </w:p>
    <w:p>
      <w:r>
        <w:t>Le litige porte sur le droit de la recourante à une rente d'invalidité.</w:t>
      </w:r>
    </w:p>
    <w:p>
      <w:r>
        <w:rPr>
          <w:b/>
        </w:rPr>
        <w:t>E. 3</w:t>
      </w:r>
    </w:p>
    <w:p>
      <w:r>
        <w:t>En vertu de l’art. 53 al. 3 LPGA, qui reprend le contenu de l’art. 58 al. 1 de la loi fédérale sur la procédure administrative du 20 décembre 1968 (PA - RS 172.021), l’autorité peut reconsidérer une décision ou une décision sur opposition contre laquelle un recours a été formé jusqu’à l’envoi de son préavis à l’autorité de recours. Selon la jurisprudence du Tribunal administratif fédéral et la doctrine majoritaire, par « préavis » ou « réponse » au sens de ces dispositions, il faut entendre la ou les déterminations que l’assureur social est invité à présenter dans le cadre de l’échange d’écritures ordonné par l’autorité de recours. La possibilité de reconsidérer s’étend jusqu’à l’échéance du délai dans lequel l’assureur social a été appelé à se déterminer pour la dernière fois, respectivement jusqu’à la fin de l’échange d’écritures, en d'autres termes jusqu'à l'échéance du</w:t>
      </w:r>
    </w:p>
    <w:p>
      <w:r>
        <w:t>A/1092/2020 - 4/5 - délai dans lequel le droit de procédure ou le juge l'ont autorisé à s'exprimer, pour la dernière fois. Cette application temporelle large de l’art. 53 al. 3 LPGA et de l’art. 58 al. 1 PA apparaît conforme à la jurisprudence du Tribunal fédéral (cf. ATAS/393/2021). En l'occurrence, l'intimé a proposé l'octroi d'une rente entière à compter de juillet 2019, ce qui correspond à une admission du recours. Il convient donc de statuer en ce sens.</w:t>
      </w:r>
    </w:p>
    <w:p>
      <w:r>
        <w:rPr>
          <w:b/>
        </w:rPr>
        <w:t>E. 4</w:t>
      </w:r>
    </w:p>
    <w:p>
      <w:r>
        <w:t>La recourante obtenant gain de cause, une indemnité lui sera accordée à titre de participation à ses frais et dépens (art. 61 let. g LPGA; art. 6 du règlement sur les frais, émoluments et indemnités en matière administrative du 30 juillet 1986 [RFPA - E 5 10.03]), qui, compte tenu de la complexité de la cause, des écritures et des audiences, est fixée à CHF 4'800.-.</w:t>
      </w:r>
    </w:p>
    <w:p>
      <w:r>
        <w:t>A/1092/2020 - 5/5 -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