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ATAS/742/2019 vom 21. August 2019</w:t>
      </w:r>
    </w:p>
    <w:p>
      <w:r>
        <w:t>GE Cour de justice, 2019-08-21, FR</w:t>
      </w:r>
    </w:p>
    <w:p>
      <w:r>
        <w:rPr>
          <w:b/>
        </w:rPr>
        <w:t xml:space="preserve">Quelle: </w:t>
      </w:r>
      <w:r>
        <w:t>https://mcp.opencaselaw.ch/entscheid/ge_gerichte_ATAS_742_2019</w:t>
      </w:r>
    </w:p>
    <w:p>
      <w:r>
        <w:t>FR: GE_GERICHTE ATAS/742/2019 du 21 août 2019</w:t>
      </w:r>
    </w:p>
    <w:p>
      <w:r>
        <w:t>IT: GE_GERICHTE ATAS/742/2019 del 21 agosto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compte tenu de la suspension des délais du 15 juillet au 15 août inclusivement, le recours est recevable (art. 38 al.</w:t>
      </w:r>
    </w:p>
    <w:p>
      <w:r>
        <w:rPr>
          <w:b/>
        </w:rPr>
        <w:t>E. 4</w:t>
      </w:r>
    </w:p>
    <w:p>
      <w:r>
        <w:t>Aux termes de l'art. 11 LAA,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Par le biais de l'art. 19 de l’ordonnance sur l'assurance-accidents du 20 décembre 1982 (OLAA - RS 832.202), le Conseil fédéral a délégué au Département fédéral de l'intérieur la compétence de dresser la liste des moyens auxiliaires et d'édicter des dispositions sur la remise de ceux-ci. Ce département a édicté l'ordonnance sur la remise de moyens auxiliaires par l'assurance-accidents (OMAA [RS 832.205.12]) avec, en annexe, la liste des moyens auxiliaires. Selon l'art. 1 al. 1 OMAA, l'assuré a droit aux moyens auxiliaires figurant sur la liste en annexe,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(art. 1 er al. 2 OMAA). L'annexe à l'OMAA comprend notamment les fauteuils roulants sans moteur (ch. 9.01) et les fauteuils roulants à moteur électrique (ch. 9.02). Les fauteuils roulants à moteur électrique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 Le droit à ce moyen auxiliaire suppose que l’assuré ait besoin d’un fauteuil roulant, mais qu’il ne soit pas en mesure d’utiliser un fauteuil roulant mécanique et qu’il ne puisse se déplacer de manière autonome qu’avec un fauteuil roulant électrique (arrêt du Tribunal fédéral 9C_543/2014 du 17 novembre 2014 consid. 5). Le droit à un fauteuil roulant électrique est exclu pour les assurés qui peuvent se déplacer seuls en fauteuil roulant manuel, même dans les cas où un système électrique leur serait utile (ATF 140 V 538 consid. 5.2). Comme pour tout moyen auxiliaire, la prise en charge des frais d'un fauteuil roulant électrique doit répondre aux critères de simplicité et d'adéquation (art. 11 al. 2 LAA; art. 1er al. 2 OMAA).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et les références; arrêt du Tribunal fédéral 9C_265/2012 du 12 octobre 2012 consid. 3.4; voir également ULRICH MEYER-BLASER, Zum Verhältnismässigkeitsgrundsatz im staatlichen Leistungsrecht, 1985, p. 82 ss et 123 ss).</w:t>
      </w:r>
    </w:p>
    <w:p>
      <w:r>
        <w:t>A/2977/2018 - 13/18 - Dans ce contexte, la jurisprudence a souligné que les buts légaux de réadaptation que sont le « déplacement » et « l'établissement de contacts avec son entourage » font référence aux lieux les plus proches situés hors du domicile dans lesquels s'établissent les contacts sociaux habituels de la population (ATF 135 I 161 consid.</w:t>
      </w:r>
    </w:p>
    <w:p>
      <w:r>
        <w:rPr>
          <w:b/>
        </w:rPr>
        <w:t>E. 4.1</w:t>
      </w:r>
    </w:p>
    <w:p>
      <w:r>
        <w:t>; 8C_699/2013 du 3 juillet 2014 consid. 6.2-6.3). A cet égard, il est un fait notoire que, pour des raisons architecturales, de nombreux lieux, publics ou privés, ne sont pas ou que très difficilement accessibles aux personnes handicapées se déplaçant en chaise roulante (manuelle ou électrique). Si cet état de fait est la source d'inconvénients certains, puisqu'il tend, en comparaison avec la situation des personnes valides, à restreindre l'autonomie et la qualité du contact social des personnes à mobilité réduite, la jurisprudence a également souligné que l'assurance sociale n'avait pas pour mission d'assurer les mesures qui étaient les meilleures dans le cas particulier, mais seulement celles qui étaient nécessaires et propres à atteindre le but visé (ATF 131 V 167 consid. 4.2 et la référence citée ; arrêts du</w:t>
      </w:r>
    </w:p>
    <w:p>
      <w:r>
        <w:t>A/2977/2018 - 14/18 - Tribunal fédéral 9C_265/2012 du 12 octobre 2012 consid. 4.2 ; 8C_699/2013 du 3 juillet 2014 consid. 6.2-6.3 ; à propos de l'interdiction de la discrimination à l'égard des personnes handicapées, voir ATF 134 I 105 consid. 5).</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Il résulte des considérants qui précèdent – sans qu’il soit nécessaire d’ordonner d’autres mesures d’instruction ou de renvoyer la cause à l’autorité inférieure (ATF 122 II 464 consid. 4a) – que l’intimée était fondée à refuser la prise en charge d'un dispositif de propulsion électrique pour fauteuil roulant. Partant, la décision du</w:t>
      </w:r>
    </w:p>
    <w:p>
      <w:r>
        <w:rPr>
          <w:b/>
        </w:rPr>
        <w:t>E. 11</w:t>
      </w:r>
    </w:p>
    <w:p>
      <w:r>
        <w:t>La procédure est gratuite (art. 89H al. 4 LPA). Vu l’issue donnée au recours, le recourant n’a pas droit à une indemnité de procédure (art. 61 let. g LPGA). Il en va de même de l’intimée, dès lors que, de jurisprudence constante,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4b). Aucune de ces exceptions n’est réalisée en l’espèce. ******</w:t>
      </w:r>
    </w:p>
    <w:p>
      <w:r>
        <w:t>A/2977/2018 - 18/18 -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