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ATAS/742/2017 vom 24. August 2017</w:t>
      </w:r>
    </w:p>
    <w:p>
      <w:r>
        <w:t>GE Cour de justice, 2017-08-24, FR</w:t>
      </w:r>
    </w:p>
    <w:p>
      <w:r>
        <w:rPr>
          <w:b/>
        </w:rPr>
        <w:t xml:space="preserve">Quelle: </w:t>
      </w:r>
      <w:r>
        <w:t>https://mcp.opencaselaw.ch/entscheid/ge_gerichte_ATAS_742_2017</w:t>
      </w:r>
    </w:p>
    <w:p>
      <w:r>
        <w:t>FR: GE_GERICHTE ATAS/742/2017 du 24 août 2017</w:t>
      </w:r>
    </w:p>
    <w:p>
      <w:r>
        <w:t>IT: GE_GERICHTE ATAS/742/2017 del 24 agosto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recours a été formé dans le délai et selon la forme prescrits (art. 38 al. 4 let .c LPGA, 60 et 61 let. b LPGA ; art. 62 al. 1 de la de loi sur la procédure administrative du 12 septembre 1985 [LPA - E 5 10]), de sorte qu’il est recevable.</w:t>
      </w:r>
    </w:p>
    <w:p>
      <w:r>
        <w:rPr>
          <w:b/>
        </w:rPr>
        <w:t>E. 4</w:t>
      </w:r>
    </w:p>
    <w:p>
      <w:r>
        <w:t>Le litige porte sur le droit du recourant à une rente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A/3184/2016 - 10/24 -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7</w:t>
      </w:r>
    </w:p>
    <w:p>
      <w:r>
        <w:t>a. La reconnaissance de l'existence de troubles somatoformes douloureux persistants suppose d'abord la présence d'un diagnostic émanant d'un expert (psychiatre) et s'appuyant lege artis sur les critères d'un système de classification reconnu (ATF 130 V 396 consid. 5.3). b.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w:t>
      </w:r>
    </w:p>
    <w:p>
      <w:r>
        <w:t>A/3184/2016 - 11/24 - composante psychique aux douleurs qui revêtirait une importance déterminante au regard de la limitation de la capacité de travail.</w:t>
      </w:r>
    </w:p>
    <w:p>
      <w:r>
        <w:rPr>
          <w:b/>
        </w:rPr>
        <w:t>E. 8</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w:t>
      </w:r>
    </w:p>
    <w:p>
      <w:r>
        <w:t>A/3184/2016 - 12/24 -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w:t>
      </w:r>
    </w:p>
    <w:p>
      <w:r>
        <w:t>A/3184/2016 - 13/24 -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A/3184/2016 - 14/24 -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b/cc 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w:t>
      </w:r>
    </w:p>
    <w:p>
      <w:r>
        <w:t>A/3184/2016 - 15/24 - des rapports ou des renseignements, des expertises ou des enquêtes sur place, il peut être fait appel aux spécialistes de l'aide publique ou privée aux invalides. À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 ATF 125 V 351 consid. 3b ee ; ATF 135 V 465 consid. 4.3 et ss ; aussi arrêts du Tribunal fédéral I 143/07 du 14 septembre 2007 consid. 3.3 et 9C_55/2008 du 26 mai 2008 consid. 4.2 avec références, concernant les cas où le service médical n'examine pas l'assuré mais se limite à apprécier la documentation médicale déjà versée au dossier). b/dd. Lorsque l'assuré présente ses propres moyens de preuve pour mettre en doute la fiabilité et la validité des constatations du médecin de l'assurance, il s'agit souvent de rapports émanant du médecin traitant ou d'un autre médecin mandaté</w:t>
      </w:r>
    </w:p>
    <w:p>
      <w:r>
        <w:t>A/3184/2016 - 16/24 -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b/ee.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À noter que les expertises en matière de trouble somatoforme douloureux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rPr>
          <w:b/>
        </w:rPr>
        <w:t>E. 11</w:t>
      </w:r>
    </w:p>
    <w:p>
      <w:r>
        <w:t>En l’espèce, l’intimé s’est fondé sur les rapports des Drs H______ et I______ des 8 octobre 2013, respectivement 13 avril 2014, pour nier au recourant tout droit à une rente. Il y a donc lieu d’examiner la valeur probante de ces documents. a/aa. À titre liminaire, il convient de relever que le Dr H______, en tant que médecin du SMR, a réalisé un examen sur la personne au sens de l’art. 49 al. 2 RAI. Son rapport du 8 octobre 2013 ne constitue donc pas une expertise au sens de l’art. 44 LPGA. Cela ne signifie cependant pas pour autant que la valeur probante dudit document doit être niée. Elle doit simplement être examinée conformément aux réquisits jurisprudentiels généraux. Cela étant précisé, force est de constater que le rapport précité du Dr H______ remplit sur le plan formel toutes les exigences auxquelles la jurisprudence soumet</w:t>
      </w:r>
    </w:p>
    <w:p>
      <w:r>
        <w:t>A/3184/2016 - 17/24 - la valeur probante d'un tel document : il contient un résumé du dossier, une anamnèse détaillée, les indications subjectives du recourant, des observations cliniques, ainsi qu’une discussion générale du cas, et ses conclusions, qui résultent d'une analyse complète de la situation médicale, sont claires, bien motivées et convaincantes. Sur le fond, le Dr H______ a diagnostiqué des lombalgies chroniques, non déficitaires, dans un contexte de protrusion discale L5-S1 et des troubles dégénératifs postérieurs étagés. Ces atteintes entraînent les limitations fonctionnelles suivantes : pas de mouvements répétés de flexion/extension, pas d’attitudes prolongées en porte-à-faux, pas de port de charges régulier de plus de 10 kg (charges légères), occasionnel de plus de 15 kg, pas de travail assis prolongé au-delà de 60 minutes, debout au-delà de 30 minutes, pas de marche au-delà du kilomètre. Lesdites limitations entraînent une incapacité totale d’exercer l’activité habituelle. En revanche, la capacité de travail reste entière dans une activité adaptée aux limitations fonctionnelles précitées et ce, depuis le 14 septembre 2010. a/bb. Le rapport du Dr I______ doit être qualifié d’expertise au sens de l’art. 44 LPGA, ce médecin n’étant pas lié au SMR. Il remplit également, sur le plan formel, toutes les exigences auxquelles la jurisprudence soumet la valeur probante d'un tel document : il contient un résumé du dossier, une anamnèse détaillée, les indications subjectives du recourant, des observations cliniques, ainsi qu’une discussion générale du cas, et ses conclusions, qui résultent d'une analyse complète de la situation médicale, sont claires, bien motivées et convaincantes. Sur le fond, le Dr I______ n’a retenu aucun diagnostic avec effet sur la capacité de travail. En revanche, il a relevé un syndrome somatoforme douloureux somatoforme persistant et un épisode dépressif majeur d’intensité modérée, tous deux présents depuis 2010. Compte tenu du diagnostic de trouble somatoforme douloureux persistant, le Dr I______ a examiné les critères de Meyer-Blaser, évoquant l’absence de comorbidité psychiatrique, de cristallisation psychique (l’état psychique du recourant étant fluctuant en fonction de l’intensité des douleurs) ou l’absence d’isolement social. Le médecin précité a également relevé que le recourant n’était pas suivi par un psychiatre et que son médecin traitant venait seulement de mettre en place un traitement psychotrope. Compte tenu de ce qui précède, le Dr I______ a considéré que ces atteintes n’entraînaient aucune incapacité de travail. Cependant, en raison d’une tristesse, d’une irritabilité et d’une fatigabilité, le rendement était légèrement diminué, de l’ordre de 10 à 15%. Après une courte période de réintégration au travail, voire avec la mise en place d’un traitement antidépresseur, lesdites limitations devraient diminuer, voire disparaître. Certes, le Dr I______ a examiné le caractère invalidant du trouble somatoforme douloureux persistant au regard des anciens critères jurisprudentiels. Cependant, une expertise rendue selon l’ancien standard ne perd pas toute valeur probante si elle permet une évaluation concluante à la lumière des indicateurs déterminants (ATF 141 V 281). Or, force est de constater, en l’espèce, qu’il ressort de l’expertise</w:t>
      </w:r>
    </w:p>
    <w:p>
      <w:r>
        <w:t>A/3184/2016 - 18/24 - du 14 avril 2014 que le recourant n’était pas suivi par un psychiatre et qu’il venait seulement d’entreprendre un traitement psychotrope lors de l’expertise. Par ailleurs, il n’était pas isolé socialement : il entretenait avec sa famille des rapports fréquents, riches et chaleureux. Son état psychique était fluctuant et évoluait selon l’intensité de la douleur. Ces éléments permettent ainsi de retenir, au regard des nouveaux critères, que le recourant ne souffrait pas de troubles psychiques graves et invalidants lors de la réalisation de l’expertise. a/cc. Sur le plan cardiologique, les médecins ayant examiné le recourant ne retiennent pas d’incapacité de travail. Dans son rapport du 17 juillet 2012, le Dr G______ n’a conclu à aucune affection cardiaque invalidante. Quant à la Dresse L______, elle a mentionné à plusieurs reprises, dans ses notes, des échocardiographies transthoraciques (TTE) dans la norme, l’absence de troubles de la cinétique et de douleurs rétrosternales (DRS). Partant, c’est à juste titre que l’OAI n’a pas retenu d’incapacité de travail en lien avec d’éventuels troubles cardiaques.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Le recourant s’est référé aux rapports des Drs K______ et J______ pour contester les conclusions des Drs H______ et I______. Or, force est de constater que ni la Dresse J______, ni le Dr K______ ne disposent d’une spécialisation, que ce soit en psychiatrie pour la première, en orthopédie ou en rhumatologie pour le second (voir www.doctorfmh.ch ou encore www.medregom.admin.ch/FR). Pour ce motif déjà, la valeur probante de leurs appréciations est moindre (voir dans ce sens l’arrêt du Tribunal fédéral 9C_826/2009 du 20 juillet 2010 consid. 4.2). En outre, ces médecins ne suivent le recourant que depuis le mois de mars 2015 et ils n’ont, à aucun moment, élevé de critiques à l’encontre du rapport du Dr H______ ou de l’expertise du Dr I______. Au vu de ce qui précède, la Chambre de céans constate que le recourant n’a fait valoir aucun élément objectif précis qui pourrait justifier d'envisager la situation médicale selon une perspective différente ou, à tout le moins, la mise en œuvre d'un complément d'instruction portant sur la période antérieure aux rapports des Drs H______ et I______, auxquels il y a lieu de reconnaître une pleine valeur probante. A l’instar de ces médecins, il convient donc de considérer qu’à compter du 14 septembre 2010, le recourant a été capable d’exercer à 100% une activité adaptée.</w:t>
      </w:r>
    </w:p>
    <w:p>
      <w:r>
        <w:t>A/3184/2016 - 19/24 -</w:t>
      </w:r>
    </w:p>
    <w:p>
      <w:r>
        <w:t>c. Cela étant, force est de constater que la décision querellée date du 19 août 2016 et qu’elle a donc été rendue près de trois ans après l’expertise rhumatologique et plus de deux ans après l’expertise psychiatrique. Certes, comme le relève à juste titre l’OAI, l'écoulement du temps n'altère pas à lui seul la valeur probante d'une expertise (voir arrêt du Tribunal fédéral 9C_351/2010 du 17 décembre 2010 consid. 4.2). Cependant, en annexe à son opposition, le recourant a notamment produit le compte-rendu d’une IRM lombaire réalisée en octobre 2015 - qui met en évidence une fissure discale postéro-latérale droite L5-S1 de grade Dallas III et une lame de liquide articulaire L4-L5 droite et L5-S1 bilatérale -, le compte-rendu d’une radiographie de la colonne dorsale du 29 décembre 2015 - mentionnant une angulation cyphotique à la hauteur de D8 - et les résultats d’une densitométrie osseuse du 13 janvier 2016 - mentionnant une ostéopénie centrale avec un risque fracturaire augmenté. Contrairement aux allégations de l’intimé, ces rapports n’ont pas été pris en considération par le SMR dans son avis du 12 août 2016 : le médecin du SMR s’est contenté de critiquer l’appréciation du Dr K______ en alléguant que celui-ci n’amenait aucun élément médical nouveau - alors même que les atteintes ressortant des rapports susmentionnés n’avaient pourtant jamais été décrites lors des précédentes IRM, ni même évoquées par les médecins traitants du recourant ou par le Dr H______. Il s’agit là, à l’évidence, d’éléments nouveaux, postérieurs au rapport du Dr H______ et, en tant que tels, ils auraient dû être pris en considération dans la décision querellée. Il en va de même de l’ostéopénie. Tel n’ayant pas été le cas, il convient de renvoyer la cause à l’intimé pour instruction complémentaire sur l’état de santé du recourant pour la période postérieure aux expertises. Au demeurant, un complément sur le plan psychique s’impose également, dans la mesure où le Dr I______ a considéré, d’une part, que les limitations pouvaient diminuer, voire disparaître suite à l’introduction du traitement psychotrope qui venait alors d’être initié, d’autre part, que si la douleur chronique ne variait pas, la symptomatologie dépressive risquait de se chroniciser.</w:t>
      </w:r>
    </w:p>
    <w:p>
      <w:r>
        <w:rPr>
          <w:b/>
        </w:rPr>
        <w:t>E. 12</w:t>
      </w:r>
    </w:p>
    <w:p>
      <w:r>
        <w:t>En l’état du dossier, on relèvera que, même si l’instruction complémentaire devait aboutir à la conclusion qu’il n’y a pas eu aggravation depuis les expertises, le degré d’invalidité serait suffisant pour ouvrir droit à des prestations. 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La comparaison des revenus s'effectue, en règle ordinaire, en chiffrant aussi exactement que possible les montants de ces deux revenus et en les confrontant l'un</w:t>
      </w:r>
    </w:p>
    <w:p>
      <w:r>
        <w:t>A/3184/2016 - 20/24 -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Il convient par conséquent de procéder à une nouvelle comparaison des revenus chaque fois qu'il est admis qu'un changement important des circonstances propre à influencer le degré d'invalidité est survenu (arrêt du Tribunal fédéral 9C_522/2011 du 8 février 2012 consid. 4.2, notamment). À noter toutefois, dans ce contexte, que l’ESS 2012 n’est pas un motif de révision, car elle ne constitue pas une modification de la situation personnelle de l’assuré (ATF 133 V 545). b/aa.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b/bb.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w:t>
      </w:r>
    </w:p>
    <w:p>
      <w:r>
        <w:t>A/3184/2016 - 21/24 -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b/cc.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w:t>
      </w:r>
    </w:p>
    <w:p>
      <w:r>
        <w:t>A/3184/2016 - 22/24 - les références; arrêt du Tribunal fédéral 8C_337/2009 du 18 février 2010 consid. 7.5).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 8C_93/2013 du 16 avril 2013 consid. 5.4 et les références). c.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13</w:t>
      </w:r>
    </w:p>
    <w:p>
      <w:r>
        <w:t>a. En l’espèce, le recourant est incapable de travailler depuis le 9 septembre 2010. Il a déposé sa demande de prestations le 20 décembre 2010. Le délai d’attente d’un an a dès lors expiré le 9 septembre 2011. Conformément à la jurisprudence en la matière, la comparaison des revenus doit donc être effectuée en 2011. C’est d’ailleurs cette année que l’OAI a pris en considération dans sa première comparaison des revenus, le 11 juillet 2014. b. En 2010, le recourant a perçu un revenu annuel de CHF 94'922.- (cf. questionnaire pour l’employeur du 14 janvier 2011), ce qui aurait correspondu, en 2011 (+ 1%), à un revenu sans invalidité de CHF 95'871.-. c. Le recourant n’a pas repris son activité depuis le dépôt de la demande, de sorte que le revenu d'invalide doit être évalué sur la base des données statistiques résultant de l’Enquête sur la structure des salaires (ESS), publiée tous les deux ans par l'Office fédéral de la statistique. Selon lesdites données statistiques, le revenu mensuel en 2010, pour un homme exerçant une activité simple et répétitive (niveau 4) était de CHF 4'901.-, soit un montant annuel de CHF 58'812.-. Comme les salaires standardisés tiennent compte d’un horaire de travail de 40 h./sem. soit une durée hebdomadaire inférieure à la moyenne usuelle dans les entreprises en 2010 (41,6 h./sem. selon les statistiques), ce montant doit être porté à 61'165.- CHF/an. L'intimé a procédé à un abattement de 10%, qui n’est pas contestable au vu de la situation du recourant, de sorte que le revenu avec invalidité, après abattement, se monte à CHF 55'049.-. À noter que ce taux a également été implicitement retenu dans le mandat de réadaptation, ce qui a permis d’aboutir un degré d’invalidité de 42%. d. Au vu de ce qui précède, le degré d’invalidité était donc à tout le moins de 43% dès le 1er septembre 2011 ([CHF 95'871.- – CHF 55'049.-] : 95'871.- x 100 = 42.58 %), ce qui ouvre droit à un quart de rente d’invalidité.</w:t>
      </w:r>
    </w:p>
    <w:p>
      <w:r>
        <w:t>A/3184/2016 - 23/24 - Dans la mesure où le calcul du degré d’invalidité en date du 1er septembre 2011 doit être effectué sur la base de l’ESS 2010, il n’y a pas lieu de procéder à une nouvelle comparaison des revenus en prenant en considération les revenus statistiques de l’ESS 2012, publiée en 2014. Procéder de la sorte, comme l’a fait l’intimé, entraîne une modification du degré d'invalidité influençant le droit à la rente sur la base de la seule application de l'ESS 2012 (ATF 142 V 178. consid. 2.5.7 et 2.5.8.1).</w:t>
      </w:r>
    </w:p>
    <w:p>
      <w:r>
        <w:rPr>
          <w:b/>
        </w:rPr>
        <w:t>E. 14</w:t>
      </w:r>
    </w:p>
    <w:p>
      <w:r>
        <w:t>Au vu de ce qui précède, le recours est partiellement admis. Le recourant se voit reconnaître le droit à au moins un quart de rente d’invalidité depuis le 1er septembre 2011, la cause étant toutefois renvoyée à l’intimé pour instruction complémentaire concernant une éventuelle aggravation postérieure aux appréciations des Drs H______ et I______. Le recourant obtenant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A/3184/2016 - 24/24 -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