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ATAS/741/2018 vom 23. August 2018</w:t>
      </w:r>
    </w:p>
    <w:p>
      <w:r>
        <w:t>GE Cour de justice, 2018-08-23, FR</w:t>
      </w:r>
    </w:p>
    <w:p>
      <w:r>
        <w:rPr>
          <w:b/>
        </w:rPr>
        <w:t xml:space="preserve">Quelle: </w:t>
      </w:r>
      <w:r>
        <w:t>https://mcp.opencaselaw.ch/entscheid/ge_gerichte_ATAS_741_2018</w:t>
      </w:r>
    </w:p>
    <w:p>
      <w:r>
        <w:t>FR: GE_GERICHTE ATAS/741/2018 du 23 août 2018</w:t>
      </w:r>
    </w:p>
    <w:p>
      <w:r>
        <w:t>IT: GE_GERICHTE ATAS/741/2018 del 23 agosto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sur la base de l'art. 56 al. 2 LPGA, qui prévoit qu'un recours peut également être formé lorsque l'assureur, malgré la demande de l'intéressé, ne rend pas de décision ou de décision sur opposition, est recevable.</w:t>
      </w:r>
    </w:p>
    <w:p>
      <w:r>
        <w:rPr>
          <w:b/>
        </w:rPr>
        <w:t>E. 3</w:t>
      </w:r>
    </w:p>
    <w:p>
      <w:r>
        <w:t>L'art. 29 al. 1 Cst. - qui a succédé à l'art. 4 al. 1 aCst. depuis le 1er janvier 2000 - dispose que toute personne a droit, dans une procédure judiciaire ou administrative, à ce que sa cause soit traitée équitablement et jugée dans un délai raisonnable. Cet article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w:t>
      </w:r>
    </w:p>
    <w:p>
      <w:r>
        <w:rPr>
          <w:b/>
        </w:rPr>
        <w:t>E. 4</w:t>
      </w:r>
    </w:p>
    <w:p>
      <w:r>
        <w:t>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w:t>
      </w:r>
    </w:p>
    <w:p>
      <w:r>
        <w:t>A/1963/2018 - 5/7 - 1999,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 / SCHÜRMANN, op. cit., p. 203-204 ; AUER / MALINVERNI / HOTTELIER, Droit constitutionnel suisse, vol. II, n. 1243). La durée du délai raisonnable n'est pas influencée par des circonstances étrangères au problème à résoudre. On ajoutera enfin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 voir à propos de l'art. 29 al.1 Cst. et de la garantie correspondante déduite auparavant de l'art. 4 al. 1 aCst.: ATF 125 V 191 consid. 2a, 375 consid. 2b/aa, 119 Ib 325 consid. 5b ; ATF 122 IV 103 consid. I/4 p. 111 ; ATF 119 III 1 consid. 3 p. 3 ; Jörg Paul MÜLLER, op. cit., p. 506 s. ; HAEFLIGER/SCHÜRMANN, op. cit., p. 204 s. ;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rPr>
          <w:b/>
        </w:rPr>
        <w:t>E. 5</w:t>
      </w:r>
    </w:p>
    <w:p>
      <w:r>
        <w:t>En l'espèce, il apparaît que plus de deux ans se sont écoulés depuis la date d’entrée en force de l’arrêt du 31 mars 2016.</w:t>
      </w:r>
    </w:p>
    <w:p>
      <w:r>
        <w:t>A/1963/2018 - 6/7 - Certes, il est compréhensible que l’intimé se soit attaché à convaincre le Dr B______ de se pencher une nouvelle fois sur le dossier puisque ce sont les contradictions de ce praticien qui rendaient précisément nécessaire un complément d’instruction. Il apparaît en revanche bien moins compréhensible que l’intimé y consacre plus d’un an et demi (jusqu’en octobre 2017). Ainsi que le fait judicieusement remarquer la recourante, il eût sans doute été plus efficace de prendre langue directement avec l’intéressé par téléphone pour lui expliquer la situation. En admettant qu’il eût continué à s’obstiner dans son refus de la même manière, l’intimé aurait dû se tourner vers un autre expert bien plus tôt. Au lieu de cela, il a laissé s’écouler plusieurs mois supplémentaires depuis octobre 2017 avant de désigner la Dresse C______ - postérieurement au dépôt du recours pour déni de justice, d’ailleurs. C’est le lieu de souligner que la période à investiguer remonte à janvier 2010 jusqu’à août 2014. Ainsi, plus il se sera écoulé de temps depuis, plus la tâche de l’expert désigné en lieu et place du Dr B______ sera compliquée. On ajoutera que la recourante n’est pour sa part de loin pas restée inactive et que s’il est vrai qu’elle s’est brièvement opposée à la désignation du Dr B______, elle s’est rapidement rangée aux motifs de l’intimé. On ne saurait donc en aucun cas lui imputer le retard pris dans ce dossier. De ce qui précède, la Cour de céans conclut qu’il y a bel et bien eu retard injustifié et donc déni de justice. L’intimé est dès lors invité à statuer à brève échéance, dès que lui sera parvenu le rapport de l’expert qu’il vient de mandater.</w:t>
      </w:r>
    </w:p>
    <w:p>
      <w:r>
        <w:t>A/1963/2018 - 7/7 -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