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ATAS/740/2017 vom 24. August 2017</w:t>
      </w:r>
    </w:p>
    <w:p>
      <w:r>
        <w:t>GE Cour de justice, 2017-08-24, FR</w:t>
      </w:r>
    </w:p>
    <w:p>
      <w:r>
        <w:rPr>
          <w:b/>
        </w:rPr>
        <w:t xml:space="preserve">Quelle: </w:t>
      </w:r>
      <w:r>
        <w:t>https://mcp.opencaselaw.ch/entscheid/ge_gerichte_ATAS_740_2017</w:t>
      </w:r>
    </w:p>
    <w:p>
      <w:r>
        <w:t>FR: GE_GERICHTE ATAS/740/2017 du 24 août 2017</w:t>
      </w:r>
    </w:p>
    <w:p>
      <w:r>
        <w:t>IT: GE_GERICHTE ATAS/740/2017 del 24 agosto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w:t>
      </w:r>
    </w:p>
    <w:p>
      <w:r>
        <w:t>A/215/2016 - 14/20 -</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 recourante à des prestations de l’assurance- invalidité, plus particulièrement, sur le caractère invalidant des atteintes dont elle souffre.</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w:t>
      </w:r>
    </w:p>
    <w:p>
      <w:r>
        <w:rPr>
          <w:b/>
        </w:rPr>
        <w:t>E. 9</w:t>
      </w:r>
    </w:p>
    <w:p>
      <w:r>
        <w:t>Dans l'éventualité où des troubles psychiques ayant valeur de maladie sont finalement admis, il y a alors lieu d'évaluer le caractère exigible de la reprise d'une activité lucrative par l'assuré, au besoin moyennant un traitement thérapeutique. À</w:t>
      </w:r>
    </w:p>
    <w:p>
      <w:r>
        <w:t>A/215/2016 - 15/20 -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10</w:t>
      </w:r>
    </w:p>
    <w:p>
      <w:r>
        <w:t>À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w:t>
      </w:r>
    </w:p>
    <w:p>
      <w:r>
        <w:rPr>
          <w:b/>
        </w:rPr>
        <w:t>E. 11</w:t>
      </w:r>
    </w:p>
    <w:p>
      <w:r>
        <w:t>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w:t>
      </w:r>
    </w:p>
    <w:p>
      <w:r>
        <w:t>A/215/2016 - 16/20 -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w:t>
      </w:r>
    </w:p>
    <w:p>
      <w:r>
        <w:rPr>
          <w:b/>
        </w:rPr>
        <w:t>E. 12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A/215/2016 - 17/20 -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14</w:t>
      </w:r>
    </w:p>
    <w:p>
      <w:r>
        <w:t>En l’espèce, l’intimé nie à la recourante le droit à toute prestation. Se fondant sur le rapport du Dr G______, il considère que le lien de causalité entre l’atteinte à la santé et l’incapacité de gain n’est pas établi et que l’assurée a conservé une pleine capacité de travail dans toute activité, ce que l’intéressée conteste. En premier lieu, il convient de déterminer quelle valeur probante peut être reconnue à l’expertise du Dr G______. La Cour de céans constate que le rapport du Dr G______ se fonde sur une anamnèse détaillée, un examen clinique de la recourante, qu’il tient compte des plaintes rapportées par cette dernière, qu’il a été établi en pleine connaissance du dossier et que ses conclusions, dûment motivées, ne laissent pas apparaître de contradiction. Il y a donc lieu de lui reconnaître pleine valeur probante. On ajoutera que si les médecins traitants de la recourante divergent sur l’appréciation de la capacité de travail de celle-ci, ils n’amènent aucun élément médical objectif justifiant de s’écarter des conclusions de l’expertise. En particulier, le psychiatre traitant confirme les diagnostics retenus par l’expert. Tous deux ont écarté ceux de trouble bipolaire et d’anxiété. Quant aux traits de personnalité</w:t>
      </w:r>
    </w:p>
    <w:p>
      <w:r>
        <w:t>A/215/2016 - 18/20 - dépendante invoqués par le Dr I______, ils sont compatibles avec le diagnostic de personnalité émotionnellement borderline retenu par l’expert. Dans ces circonstances, il n’y a donc pas lieu de procéder à une nouvelle expertise, celle figurant au dossier étant pleinement suffisante sur le plan psychique. La recourante reproche à l’OAI une position qu’elle estime contraire aux conclusions de l’expert. Il est vrai que ce dernier a admis une incapacité de travail de 100% entre septembre 2012 et décembre 2013 et de 50% de janvier à juin 2014. Cette incapacité est justifiée par l’aggravation psychique survenue lorsque l’atteinte hépatique a été posée et qu’un traitement lourd a été mis en place. L’expert psychiatre a indiqué que si le trouble dépressif était désormais amélioré, il avait effectivement été de degré sévère par le passé. Le SMR a d’ailleurs confirmé, en août 2013, qu’à eux seuls, les effets secondaires du traitement par Interféron justifiaient une incapacité de travail jusqu’à la fin dudit traitement. Sur ce point, la recourante a donc raison. C’est à tort que l’intimé retient que l’incapacité de travail se serait limitée à la période du 15 mars 2013 au 12 février 2014. Il ressort au contraire du dossier et du rapport du Dr G______ que cette incapacité a bel et bien débuté en septembre 2012 - alors justifiée par l’aggravation du trouble dépressif, devenu sévère suite à l’annonce du diagnostic hépatique - et qu’elle a duré jusqu’à fin juin 2014, soit quelques mois après la fin du traitement par Interféron - arrivé à terme fin mars 2014. À cet égard, les conclusions de l’expert paraissent vraisemblables et convaincantes au vu de l’anamnèse et du dossier. Il ne se justifie dès lors pas de s’en écarter comme l’a fait l’intimé. Dès lors, la période d’incapacité à retenir est bel et bien de 100% entre septembre 2012 (aggravation psychique consécutive à l’annonce de l’atteinte somatique) et mars 2014 (date à laquelle le traitement de l’hépatite a pris fin, puisqu’il justifiait à lui seul une totale incapacité selon le SMR), puis de 50% d’avril à juin 2014 (jusqu’à ce que les effets secondaires du traitement s’estompent et que l’état psychique de l’assurée s’améliore, selon les constatations de l’expert). Sur ce point, le recours est admis et il conviendra de renvoyer la cause à l’intimé pour calcul des prestations dues à compter de septembre 2013 et jusqu’à septembre 2014. Reste à examiner ce qu’il en est de la période débutant en juillet 2014, pour laquelle l’expert a reconnu à l’assurée, d’un point de vue psychique, une pleine capacité de travail dans toute activité. La recourante reproche à l’expert et à l’intimé d’avoir considéré sa polytoxicomanie comme surmontable. Cela étant, l’expert et l’intimé n’ont fait qu’appliquer la jurisprudence constante. En effet, même si on admet que les traits de personnalité de l’assurée ont pu favoriser l’apparition de la toxicomanie, il n’en demeure pas moins que ces traits n’étaient pas invalidants en eux-mêmes et que la toxicomanie n’a pas non plus induit d’atteinte invalidante en soi. Il ne fait par ailleurs aucun doute que la toxicomanie est primaire, dans la mesure où elle est apparue bien avant les troubles psychiques. Dès lors, on ne saurait retenir d’atteinte</w:t>
      </w:r>
    </w:p>
    <w:p>
      <w:r>
        <w:t>A/215/2016 - 19/20 - invalidante sur le plan psychique au-delà de juin 2014, date à compter de laquelle le trouble dépressif récurrent n’a plus revêtu qu’un degré de sévérité moyenne. On rappellera à cet égard qu’en cas de dépendance, la situation de fait doit certes faire l'objet d'une appréciation globale incluant aussi bien les causes que les conséquences de la dépendance - ce qui implique de tenir compte d'une éventuelle interaction entre dépendance et comorbidité psychiatrique -, mais,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Tel n’est pas le cas en l’occurrence. Il n’y a donc pas non plus lieu de s’écarter des conclusions de l’expert quant au recouvrement d’une pleine capacité de travail médico-théorique à compte de juillet 2014. Sur ce point, la recourante se voit déboutée.</w:t>
      </w:r>
    </w:p>
    <w:p>
      <w:r>
        <w:rPr>
          <w:b/>
        </w:rPr>
        <w:t>E. 15</w:t>
      </w:r>
    </w:p>
    <w:p>
      <w:r>
        <w:t>En dernier lieu, la recourante reproche à l’OAI de n’avoir pas tenu compte de ses atteintes pulmonaires. Cependant, force est de constater que la BPCO dont elle souffre est modérée. Les médecins traitants n’ont d’ailleurs jamais fait état d’une incapacité en lien avec cette atteinte. Quant au syndrome d’apnées du sommeil, il n’a été diagnostiqué qu’en mars 2016 - soit bien après la décision litigieuse. On pourrait certes soutenir qu’il devait déjà être présent à l’heure où celle-ci a été rendue. Cependant, les troubles de l’attention et de la concentration dont se plaint la recourante - dont on pourrait penser qu’ils seraient induits par cette atteinte - n’ont pas été objectivés. Au contraire, l’expert psychiatre, après examen psychométrique, a considéré qu’il n’y avait aucun trouble de la concentration incapacitant. Dès lors, c’est à juste titre que l’intimé n’en a pas tenu compte. S’il devait s’avérer que les troubles augmentent ou soient objectivés dans le futur, il serait loisible à la recourante de déposer une nouvelle demande pour ce motif.</w:t>
      </w:r>
    </w:p>
    <w:p>
      <w:r>
        <w:rPr>
          <w:b/>
        </w:rPr>
        <w:t>E. 16</w:t>
      </w:r>
    </w:p>
    <w:p>
      <w:r>
        <w:t>Au vu de ce qui précède, le recours est partiellement admis et la cause renvoyée à l’intimé pour calcul des prestations dues correspondant aux périodes d’incapacité retenues au considérant14 supra.</w:t>
      </w:r>
    </w:p>
    <w:p>
      <w:r>
        <w:t>A/215/2016 - 20/20 -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