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ATAS/740/2015 vom 30. September 2015</w:t>
      </w:r>
    </w:p>
    <w:p>
      <w:r>
        <w:t>GE Cour de justice, 2015-09-30, FR</w:t>
      </w:r>
    </w:p>
    <w:p>
      <w:r>
        <w:rPr>
          <w:b/>
        </w:rPr>
        <w:t xml:space="preserve">Quelle: </w:t>
      </w:r>
      <w:r>
        <w:t>https://mcp.opencaselaw.ch/entscheid/ge_gerichte_ATAS_740_2015</w:t>
      </w:r>
    </w:p>
    <w:p>
      <w:r>
        <w:t>FR: GE_GERICHTE ATAS/740/2015 du 30 septembre 2015</w:t>
      </w:r>
    </w:p>
    <w:p>
      <w:r>
        <w:t>IT: GE_GERICHTE ATAS/740/2015 del 30 settembre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a.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Par ailleurs, en vertu de l’art. 67 de la loi genevoise du 12 septembre 1985 sur la procédure administrative (LPA), le recours devant le Tribunal cantonal des assurances sociales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w:t>
      </w:r>
    </w:p>
    <w:p>
      <w:r>
        <w:t>A/2234/2015 - 10/17 -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b. En l'occurrence, le litige n'est pas devenu sans objet du fait de la conclusion de l'intimé tendant au renvoi du dossier à ses services pour instruction complémentaire. En effet, la recourante n'a pas obtenu satisfaction de ses conclusions, lesquelles tendent à l'octroi d'une rente d'invalidité. La chambre de céans doit pas conséquent entrer en matière sur le recours, dès lors que la recourante s'oppose au renvoi.</w:t>
      </w:r>
    </w:p>
    <w:p>
      <w:r>
        <w:rPr>
          <w:b/>
        </w:rPr>
        <w:t>E. 4</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L'incapacité de gain doit être la conséquence d'une atteinte à la santé et être objectivement insurmontable (art. 7 al. 2 LPGA).</w:t>
      </w:r>
    </w:p>
    <w:p>
      <w:r>
        <w:rPr>
          <w:b/>
        </w:rPr>
        <w:t>E. 5</w:t>
      </w:r>
    </w:p>
    <w:p>
      <w:r>
        <w:t>Conformément à l’art. 28 al. 1 LAI, dans sa teneur en vigueur dès le 1er janvier 2004, l’assuré a droit à une rente entière s’il est invalide à 70 % au moins, à un trois-quarts de rente s'il est invalide à 60 % au moins, à une demi rente s’il est invalide à 50 % au moins, ou à un quart de rente s’il est invalide à 40 % au moins.</w:t>
      </w:r>
    </w:p>
    <w:p>
      <w:r>
        <w:rPr>
          <w:b/>
        </w:rPr>
        <w:t>E. 6</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t>A/2234/2015 - 11/17 -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8</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w:t>
      </w:r>
    </w:p>
    <w:p>
      <w:r>
        <w:t>A/2234/2015 - 12/17 - rapport en pour-cent entre ces deux valeurs (ATF 104 V 136 consid. 2a; RCC 1992 p. 136 consid. 1b). La part des travaux habituels constitue le reste du pourcentage (ATF 130 V 393 consid. 3.3 et ATF 104 V 136 consid. 2a).</w:t>
      </w:r>
    </w:p>
    <w:p>
      <w:r>
        <w:rPr>
          <w:b/>
        </w:rPr>
        <w:t>E. 9</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5.4.4).a.</w:t>
      </w:r>
    </w:p>
    <w:p>
      <w:r>
        <w:rPr>
          <w:b/>
        </w:rPr>
        <w:t>E. 10</w:t>
      </w:r>
    </w:p>
    <w:p>
      <w:r>
        <w:t>a. Selon le principe de la libre appréciation des preuves, qui s’applique aussi bien en procédure administrative qu’en procédure de recours de droit administratif</w:t>
      </w:r>
    </w:p>
    <w:p>
      <w:r>
        <w:t>A/2234/2015 - 13/17 -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w:t>
      </w:r>
    </w:p>
    <w:p>
      <w:r>
        <w:t>A/2234/2015 - 14/17 -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w:t>
      </w:r>
    </w:p>
    <w:p>
      <w:r>
        <w:rPr>
          <w:b/>
        </w:rPr>
        <w:t>E. 11</w:t>
      </w:r>
    </w:p>
    <w:p>
      <w:r>
        <w:t>En l’occurrence, il convient de déterminer en premier lieu le statut de la recourante. Il ressort du dossier qu’elle a travaillé à 40 % de septembre 2002 jusqu’au 30 mars 2010, puis à 30 %. A l’enquêtrice, elle a déclaré qu’elle aurait continué à travailler comme nettoyeuse au taux d’activité habituel, ce qu’elle conteste toutefois dans le cadre de son recours, se prévalant d'un malentendu et reprochant notamment à l’intimé d'avoir procédé à l’enquête économique sur le ménage sans traducteur. Il convient toutefois de rappeler que l’entretien s’est déroulé en présence de son mari et de sa fille cadette, de sorte que ses propos ont été traduits par ses proches. Néanmoins, une mauvaise compréhension n’est pas exclue. C’est cependant pour la première fois que la recourante fait valoir dans son recours qu’elle aurait travaillé à 100 %, en bonne santé, et que c’est son état de santé avec des douleurs à partir de 2003 déjà, qui l’a empêchée d'augmenter son taux de travail. Auparavant, elle a allégué, par la bouche de son avocat, qu’elle aurait augmenté son taux de travail suite à l’accident de son époux en juin 2003 qui avait eu pour conséquence une diminution de ses revenus. Cela ne paraît cependant pas vraisemblable. En effet, d’une part, aucune recherche d’emploi n’est établie ni même alléguée à partir de 2003, ni même lorsque son employeur a diminué son temps de travail de 40 à 30 % en 2010. Au demeurant, si l'activité de nettoyeuse lui provoquait des douleurs, elle aurait pu chercher un emploi dans un domaine plus adapté à ses limitations et ainsi augmenter son taux de travail. Cela étant, au degré de la vraisemblance prépondérante, il ne peut être retenu que la recourante aurait augmenté son taux d’activité, de sorte qu'il y a lieu de se fonder sur un statut mixte avec une activité lucrative à 30% et une activité dans le ménage à 70%.</w:t>
      </w:r>
    </w:p>
    <w:p>
      <w:r>
        <w:rPr>
          <w:b/>
        </w:rPr>
        <w:t>E. 12</w:t>
      </w:r>
    </w:p>
    <w:p>
      <w:r>
        <w:t>En admettant que la recourante présente une incapacité de travail totale de 100 % dans la sphère lucrative de 30%, son taux d’invalidité n’est en principe pas supérieur à 35 %, en se fondant sur l'enquête économique sur le ménage. a. La recourante conteste toutefois les conclusions de cette enquête. A cet égard, elle fait valoir qu’il est contradictoire de considérer que sa capacité de travail en</w:t>
      </w:r>
    </w:p>
    <w:p>
      <w:r>
        <w:t>A/2234/2015 - 15/17 - tant que nettoyeuse est nulle, mais qu'elle est de 93,1 % dans le ménage, alors qu’il s’agit de la même activité. Elle reproche aussi à l’enquêtrice d'avoir fait une totale abstraction des affections psychiatriques dont elle souffre et de la répercussion des nombreuses douleurs sur sa capacité de travail à tenir le ménage, notamment sur la durée. Elle a mis à cet égard en exergue avoir déclaré aux médecins du SMR que les douleurs la fatiguaient de manière permanente. Concernant son premier argument, il sied de relever que la productivité requise dans le ménage ne saurait être comparée à celle exigée dans le cadre d’une activité lucrative de nettoyeuse. En effet, dans la sphère ménagère, les activités peuvent être réparties sur la journée et entrecoupées de pauses. Il convient également de noter que la recourante n’a pas critiqué dans les détails les limitations retenues dans la sphère ménagère par l’enquêtrice, de sorte qu’il y a lieu de s'y tenir. Quant aux affections psychiatriques, il est ressorti de l’enquête ménagère que celles-ci n’ont pas eu de répercussions dans la tenue du ménage. En effet, selon les dires de la recourante et de son mari, la situation à domicile n’a pas évolué depuis le début de l’atteinte, le 14 mars 2012, à ce jour. Même pendant la période comprise entre février 2013 et mars 2014, pendant laquelle la recourante a souffert d’une symptomatologie dépressive d’intensité sévère selon le Dr G______, elle a continué à diriger son ménage. En ce qui concerne les douleurs et la fatigue, la recourante ne précise pas dans quels travaux du ménage ces limitations auraient eu un impact plus grand que ce qui a été retenu par l’enquêtrice. En tout état de cause, il convient de relever que la fatigue n’est pas objectivée, étant précisé notamment que la recourante a déclaré aux médecins du SMR qu'elle ne faisait que rarement une sieste l’après-midi. S’agissant de l’exigibilité de l’aide des membres de la famille, il convient de préciser que l’époux de la recourante ne travaille qu’à 50 %. Du reste, les enfants adultes sont tout à fait en mesure de participer aux travaux ménagers, même s’ils ont des activités à l’extérieur. En effet, s’ils n’habitaient pas avec la recourante, ils auraient également été obligés d’assumer leur ménage. Cela vaut aussi pour le fils de la recourante né en 1998, soit âgé de seize ans au moment de l’enquête ménagère. Cela étant, une exigibilité de 30 % retenue par l’enquêtrice est tout à fait convaincante. Le fait que son fils né en 1988 a déménagé en mai 2015 avec sa femme et leur fils n’y change rien, même si cette dernière assumait presque totalement le ménage. En effet, comme relevé ci-dessus, les autres membres de la famille, à savoir le mari et les enfants, sont assurément en mesure d’assumer 30 % des travaux ménagers. Par conséquent, jusqu'à l'aggravation de l'état de santé de la recourante en décembre 2014, une pleine valeur probante doit être accordée à l'enquête économique sur le ménage, de sorte qu'il faut retenir seulement un empêchement de 6,9% pour les travaux ménagers.</w:t>
      </w:r>
    </w:p>
    <w:p>
      <w:r>
        <w:t>A/2234/2015 - 16/17 - Partant, même en reconnaissant à la recourante une incapacité de travail de 100% dans l'activité lucrative, le taux d'invalidité global est insuffisant pour ouvrir le droit à une rente, de sorte que la question du taux d'invalidité précis dans un emploi adapté et donc également celle de la perte de gain peuvent rester ouvertes.</w:t>
      </w:r>
    </w:p>
    <w:p>
      <w:r>
        <w:rPr>
          <w:b/>
        </w:rPr>
        <w:t>E. 13</w:t>
      </w:r>
    </w:p>
    <w:p>
      <w:r>
        <w:t>Se pose ensuite la question de savoir si l’aggravation de l’état de santé fin 2014 a eu des répercussions supplémentaires sur la capacité de la recourante de tenir son ménage, ainsi que sur le droit à une rente. Cela ne peut être exclu, comme l'admet au demeurant aussi le SMR. Par conséquent, il s'avère nécessaire de procéder à une nouvelle enquête économique sur le ménage, afin de déterminer si la recourante présente des limitations fonctionnelles au niveau neuropsychologique qui provoquent des empêchements supplémentaires dans le ménage. S'il devait s'avérer que les empêchements, en tenant compte de l'aide exigible des proches, entraînent un taux d'invalidité total d'au moins 40% avec une incapacité de travail complète dans l'activité lucrative de 30%, il appartiendra également à l'intimé de déterminer avec précision la capacité de travail et la perte de gain de la recourante dans une activité professionnelle adaptée. Il est à cet égard à relever que, selon la Dresse J_____, l'incapacité de travail n'est pas totale dans une activité adaptée, dès lors qu'elle a évalué la diminution du rendement à 60%.</w:t>
      </w:r>
    </w:p>
    <w:p>
      <w:r>
        <w:rPr>
          <w:b/>
        </w:rPr>
        <w:t>E. 14</w:t>
      </w:r>
    </w:p>
    <w:p>
      <w:r>
        <w:t>Cela étant, le recours sera partiellement admis. La décision querellée sera annulée en ce qu'elle a refusé à la recourante les prestations à compter de décembre 2014 et la cause renvoyée à l'intimé pour instruction complémentaire sur le taux d'invalidité dès cette date, au sens des considérants, ainsi que nouvelle décision. Le refus de prestations jusqu'en novembre 2014 sera par ailleurs confirmé.</w:t>
      </w:r>
    </w:p>
    <w:p>
      <w:r>
        <w:rPr>
          <w:b/>
        </w:rPr>
        <w:t>E. 15</w:t>
      </w:r>
    </w:p>
    <w:p>
      <w:r>
        <w:t>L'intimé qui succombe en partie sera condamné à un émolument de CHF 200.-.</w:t>
      </w:r>
    </w:p>
    <w:p>
      <w:r>
        <w:rPr>
          <w:b/>
        </w:rPr>
        <w:t>E. 16</w:t>
      </w:r>
    </w:p>
    <w:p>
      <w:r>
        <w:t>Il sera par ailleurs condamné à verser à la recourante une indemnité de CHF 500.- à titre de dépens, dans la mesure où la recourante obtient partiellement gain de cause.</w:t>
      </w:r>
    </w:p>
    <w:p>
      <w:r>
        <w:t>A/2234/2015 - 17/17 -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