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ATAS/740/2010 vom 6. Juli 2010</w:t>
      </w:r>
    </w:p>
    <w:p>
      <w:r>
        <w:t>GE Cour de justice, 2010-07-06, FR</w:t>
      </w:r>
    </w:p>
    <w:p>
      <w:r>
        <w:rPr>
          <w:b/>
        </w:rPr>
        <w:t xml:space="preserve">Quelle: </w:t>
      </w:r>
      <w:r>
        <w:t>https://mcp.opencaselaw.ch/entscheid/ge_gerichte_ATAS_740_2010</w:t>
      </w:r>
    </w:p>
    <w:p>
      <w:r>
        <w:t>FR: GE_GERICHTE ATAS/740/2010 du 6 juillet 2010</w:t>
      </w:r>
    </w:p>
    <w:p>
      <w:r>
        <w:t>IT: GE_GERICHTE ATAS/740/2010 del 6 luglio 2010</w:t>
      </w:r>
    </w:p>
    <w:p>
      <w:pPr>
        <w:pStyle w:val="Heading2"/>
      </w:pPr>
      <w:r>
        <w:t>Erwägungen</w:t>
      </w:r>
    </w:p>
    <w:p>
      <w:r>
        <w:rPr>
          <w:b/>
        </w:rPr>
        <w:t>E. 1</w:t>
      </w:r>
    </w:p>
    <w:p>
      <w:r>
        <w:t>Condamne l’Office AI au versement d’une indemnité de procédure en faveur de la recourante de 2'000 fr.</w:t>
      </w:r>
    </w:p>
    <w:p>
      <w:r>
        <w:rPr>
          <w:b/>
        </w:rPr>
        <w:t>E. 2</w:t>
      </w:r>
    </w:p>
    <w:p>
      <w:r>
        <w:t>Met un émolument de 500 fr. à charge de l’Office AI.</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