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ATAS/73/2024 vom 7. Februar 2024</w:t>
      </w:r>
    </w:p>
    <w:p>
      <w:r>
        <w:t>GE Cour de justice, 2024-02-07, FR</w:t>
      </w:r>
    </w:p>
    <w:p>
      <w:r>
        <w:rPr>
          <w:b/>
        </w:rPr>
        <w:t xml:space="preserve">Quelle: </w:t>
      </w:r>
      <w:r>
        <w:t>https://mcp.opencaselaw.ch/entscheid/ge_gerichte_ATAS_73_2024</w:t>
      </w:r>
    </w:p>
    <w:p>
      <w:r>
        <w:t>FR: GE_GERICHTE ATAS/73/2024 du 7 février 2024</w:t>
      </w:r>
    </w:p>
    <w:p>
      <w:r>
        <w:t>IT: GE_GERICHTE ATAS/73/2024 del 7 febbraio 2024</w:t>
      </w:r>
    </w:p>
    <w:p>
      <w:pPr>
        <w:pStyle w:val="Heading2"/>
      </w:pPr>
      <w:r>
        <w:t>Erwägungen</w:t>
      </w:r>
    </w:p>
    <w:p>
      <w:r>
        <w:rPr>
          <w:b/>
        </w:rPr>
        <w:t>E. 20</w:t>
      </w:r>
    </w:p>
    <w:p>
      <w:r>
        <w:t>décembre 2019 qui était partiellement illisible. Quant à la recourante, elle a transmis les rapports de physiothérapie remis au Dr G______ au moment de l’expertise. L’ultrason du 20 décembre 2020 du coude et poignet conclut au niveau du coude à un élargissement du tendon conjoint des muscles épicondyliens avec hyperémie au Doppler témoignant d’une épicondylite. Quant aux rapports de physiothérapie, celui du 20 novembre 2021 mentionne un suivi pour des douleurs diffuses dont le diagnostic médical retenu est une épicondylite du bras droit. Quant au second, non daté, il fait état d’une douleur de l’insertion des muscles épicondyliens.</w:t>
      </w:r>
    </w:p>
    <w:p>
      <w:r>
        <w:t>EN DROIT</w:t>
      </w:r>
    </w:p>
    <w:p>
      <w:r>
        <w:t>1.</w:t>
      </w:r>
    </w:p>
    <w:p>
      <w:r>
        <w:t>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1.2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t>A/880/2023 - 10/22 - 1.3 Compte tenu du domicile genevois de la recourante, la Cour de céans est compétente à raison de la matière et du lieu pour juger du cas d’espèce. 2. 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 3. Le 1er janvier 2017 est entrée en vigueur la modification du 25 septembre 2015 de la LAA. Dans la mesure où l'accident est survenu après cette date, le droit de la recourante aux prestations d'assurance est soumis au nouveau droit. 4. Le délai de recours est de trente jours (art. 56 LPGA ; art. 62 al. 1 de la de loi sur la procédure administrative du 12 septembre 1985 [LPA - E 5 10]). Interjeté dans la forme et le délai prévus par la loi, le recours est recevable. 5. Le litige porte sur le droit de la recourante à des prestations de l’assurance- accidents au-delà du 30 juin 2022.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7.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8.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w:t>
      </w:r>
    </w:p>
    <w:p>
      <w:r>
        <w:t>A/880/2023 - 11/22 -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9. Les notions de syndrome douloureux régional complexe (CRPS - Complex regional pain syndrome en anglais), algodystrophie ou maladie de Suedeck appartiennent aux maladies neurologiques, orthopédiques et traumatologiques et constituent ainsi une atteinte à la santé physique, respectivement corporelle (arrêt du Tribunal fédéral 8C_955/2008 du 29 avril 2009 consid. 6).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w:t>
      </w:r>
    </w:p>
    <w:p>
      <w:r>
        <w:t>A/880/2023 - 12/22 - l'accident ; b) l'absence d'un autre facteur causal de nature non traumatique (comme par exemple : état après infarctus du myocarde, après apoplexie, après ou lors de l’ingestion de barbituriques, lors de tumeurs, de grossesses; etc.) et c) une courte période de latence entre l'accident et l'apparition de l'algodystrophie, soit au maximum six à huit semaines (arrêts du Tribunal fédéral 8C_871/2010 du 4 octobre 2011 consid. 3.2 et 8C_384/2009 du 5 janvier 2010 consid. 4.2.1 in SVR 2010 UV n° 18 p. 69). Pour admettre un lien de causalité naturelle, il n'est pas déterminant que le diagnostic ait été posé dans les six à huit semaines après l’accident, mais que sur la base de constatations médicales fournies en temps réel, on puisse conclure que durant cette période de latence l'assuré a souffert au moins en partie des symptômes typiques de ce diagnostic (arrêt du Tribunal fédéral 8C_270/2022 du 12 octobre 2022 consid. 4.2.1 et les références). La causalité naturelle peut également être admise si le syndrome fait suite à une opération en lien avec l'accident (arrêt du Tribunal fédéral 8C_27/2019 du 20 août 2019 consid. 6.4.2 et les références citées). 10.</w:t>
      </w:r>
    </w:p>
    <w:p>
      <w:r>
        <w:t>10.1 Selon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Se fondant sur cette délégation de compétence - à laquelle renvoie l'art. 14 de l'ordonnance sur l'assurance-accidents du 20 décembre 1982 (OLAA - RS 832.202) -, le Conseil fédéral a dressé à l'annexe I de l'OLAA la liste des substances nocives, d'une part, et la liste de certaines affections, ainsi que des travaux qui les provoquent, d'autre part. Ces substances et travaux, ainsi que les affections dues à ceux-ci, sont énumérés de manière exhaustive. Selon la jurisprudence, l'exigence d'une relation prépondérante requise par l'art. 9 al. 1 LAA est réalisée lorsque la maladie est due pour plus de 50% à l'action d'une substance nocive mentionnée à l'annexe 1 de l'OLAA (arrêt du Tribunal fédéral 8C_626/2021 du 19 janvier 2022 consid. 3.2 et les références). 10.2 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(arrêt du Tribunal fédéral 8C_516/2020 du 3 février 2021 consid. 3.2.1 et les références). 10.3 Selon la jurisprudence, la condition d'un lien exclusif ou nettement prépondérant au sens de l'art. 9 al. 2 LAA - parfois appelé causalité qualifiée -</w:t>
      </w:r>
    </w:p>
    <w:p>
      <w:r>
        <w:t>A/880/2023 - 13/22 -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(arrêt 8C_516/2020 précité consid. 3.2.2 et les références). 10.4 Le Tribunal fédéral a relevé que, compte tenu du caractère empirique de la médecine, lorsqu'une preuve directe ne peut pas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 8C_516/2020 précité consid. 3.2.3 et les références). 10.5 Il découle de ce qui précède (cf. consid. 7.3.2 supra)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(arrêt 8C_516/2020 précité consid. 3.2.4 et les références). 10.6 Ces principes valent pour l’examen de la relation de causalité exclusive ou (nettement) prépondérante sous l’angle de l’al. 1 comme de l’al. 2 de l’art. 9 LAA. Pour le lien de causalité entre une maladie et les substances nocives ou les travaux en cause au sens du premier alinéa, est cependant déterminante la mesure dans laquelle le risque d’être atteint par la maladie en raison de l’exposition à certaines substances nocives est augmenté compte tenu des données épidémiologiques. Il convient de se fonder sur le risque relatif (r-1), c’est-à-dire sur le rapport de probabilité de tomber malade entre des personnes exposées et celles qui ne le sont pas au sein d’une population déterminée, pour une période de temps délimitée.</w:t>
      </w:r>
    </w:p>
    <w:p>
      <w:r>
        <w:t>A/880/2023 - 14/22 - Dès lors que la cause prépondérante au sens de l’art. 9 al. 1 LAA n’est réalisée que si les substances nocives participent à plus de 50% de l’ensemble des causes à la survenance de la maladie, le risque relatif doit être supérieur à 2 (Jean-Maurice FRÉSARD / Margrit MOSER-SZELESS, L'assurance-accidents obligatoire in Schweizerisches Bundesverwaltungsrecht [SBVR], 3ème éd., 2016, n. 165). 10.7 L'épicondylite ne figure pas dans la liste des maladies de l’Annexe 1 OLAA et ne peut donc être reconnue comme maladie professionnelle que dans le cadre de la clause générale de l'art. 9 al. 2 LAA. Pendant de nombreuses années, la SUVA reconnaissait l'épicondylite comme maladie professionnelle sous certaines conditions et cette pratique a été modifiée par la suite. Le Tribunal fédéral est arrivé à la conclusion qu'en l'état actuel des connaissances scientifiques, il n'était pas possible d'exclure de manière générale le caractère de maladie professionnelle à l'épicondylite, de sorte que la question devait être appréciée de cas en cas en fonction de différents critères d'évaluation (arrêt du Tribunal fédéral 8C_516/2020 du 3 février 2021 consid. 3.2.5; arrêt du Tribunal fédéral 8C_117/2016 du 27 janvier 2017 consid. 6). Le Tribunal fédéral a suivi cette position dans tous les cas de figure concernant l'épicondylite radiale (Thomas FLÜCKIGER in HÜRZELER / KIESER [éd.], UVG, Bundesgesetz über die Unfallversicherung, 2018, n. 48 ad art. 9 LAA ; arrêt du Tribunal fédéral 8C_117/2016 du 27 janvier 2017 consid. 6). 11. Pour constater l'existence d'une atteinte à la santé en lien avec l'exercice d'une activité professionnelle, le juge doit se fonder sur des rapports médicaux auxquels on peut attribuer un caractère probant suffisant selon la jurisprudence (arrêt du Tribunal fédéral 8C_800/2019 du 18 novembre 2020 consid. 3.2 et les références). 11.1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A/880/2023 - 15/22 - 11.2 Sans remettre en cause le principe de la libre appréciation des preuves, le Tribunal fédéral des assurances a posé des lignes directrices en ce qui concerne la manière d'apprécier certains types d'expertises ou de rapports médicaux (ATF 125 V 351 consid. 3b). 11.3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 11.4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11.5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11.6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w:t>
      </w:r>
    </w:p>
    <w:p>
      <w:r>
        <w:t>A/880/2023 - 16/22 -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 12.1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12.2 Dans le contexte de la suppression du droit à des prestations d'assurance sociales, le fardeau de la preuve incombe en principe à l'assureur-accidents (cf. ATF 146 V 51 consid. 5.1 et les références). Cette règle selon laquelle le</w:t>
      </w:r>
    </w:p>
    <w:p>
      <w:r>
        <w:t>A/880/2023 - 17/22 -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 12.3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w:t>
      </w:r>
    </w:p>
    <w:p>
      <w:r>
        <w:t>A/880/2023 - 18/22 - (RS 101 - Cst; SVR 2001 IV n. 10 p. 28 consid. 4b), la jurisprudence rendue sous l’empire de l’art. 4 aCst. étant toujours valable (ATF 124 V 90 consid. 4b, ATF 122 V 157 consid. 1d). 13. En l’occurrence, les parties s’opposent sur la prise en charge de l’intimée au-delà du 30 juin 2022. Sur la base du rapport d’expertise du Dr G______, l’assureur a mis fin à ses prestations au 30 juin 2022, estimant qu’il n’y a aucune lésion anatomique objectivable qui justifie un lien de causalité entre l’accident et l’affection au coude droit après cette date. Quant à la recourante, sur la base des rapports de ses médecins traitants et des résultats d’examen au dossier, elle fait valoir qu’il y a au contraire une atteinte à la santé résultant de l’accident, sous la forme d’une épicondylite du coude droit, laquelle impacte sa capacité de travail au-delà du 30 juin 2022. Elle estime que le rapport d’expertise du Dr G______ n’a pas de valeur probante. Il ressort du dossier que la recourante s’est blessée au coude droit lors de l’accident de décembre 2019, ce qui n’est pas contesté. Les appréciations médicales au dossier sont divergentes. Le rapport d’ultrason du 20 décembre 2019 fait état d’un élargissement du tendon conjoint des muscles épicondyliens avec hyperémie au Doppler témoignant d’une épicondylite. Dans ses rapports (pièces 18, 32 et 58 intimée), le Dr C______, qui a suivi la recourante dans les suites immédiates de son accident, a fait état à titre de diagnostic d’épicondylite post-traumatique du coude droit. Le Dr D______ retient également une épicondylite du coude droit (notamment pièce 73 intimée). Dans son rapport du 8 juin 2021, le Dr F______ concluait à une épicondylalgie droite consécutive à une contusion. Il notait que l’examen clinique relevait une douleur élective au niveau de l’épicondyle et de l’insertion des épicondyliens. Il n’y avait que peu de douleurs aux tests de provocation (pièce 135 intimée). Dans son rapport d’expertise le Dr G______ ne rejoint pas les médecins traitants de la recourante (pièce 171 intimée). Le Dr G______ mentionne que le diagnostic d’épicondylite et d’épicondylalgie est repris régulièrement, mais ceci n’est pas corroboré par des résultats d’examens cliniques, ni même des mesures de mobilité articulaire ou des mesures de force. Il conclut qu’il n’y a, au moment de son examen, aucune lésion anatomique objectivable, résultant de l’accident, qui puisse justifier une incapacité de travail. On trouve au dossier un ultrason de décembre 2019 qui fait état d’un élargissement du tendon conjoint des muscles épicondyliens avec hyperémie au</w:t>
      </w:r>
    </w:p>
    <w:p>
      <w:r>
        <w:t>A/880/2023 - 19/22 - Doppler témoignant d’une épicondylite. Toutefois, ce rapport n’est pas mentionné dans l’expertise. Il sied de relever que la Cour de céans a dû elle-même le réclamer car illisible, de sorte qu’il apparaît pour le moins vraisemblable que l’expert n’en a pas eu connaissance. Par ailleurs, d’après les propos de l’expert, ce dernier n’a manifestement pas eu accès à un dossier complet. En effet, il note en page 3 de son expertise (pièce 171 intimée) ne pas disposer du rapport médical initial. L’expert indique également ne pas avoir eu à disposition les radiographies. Il apparaît par ailleurs que vu l’interpellation de l’assureur qui a conduit au courriel du Dr G______ du 15 novembre 2022 (pièce 219 intimée), ce dernier n’a pas eu accès à l’échographie du 7 décembre 2021. Des rapports et des imageries ont par la suite été produits par la recourante tant en procédure administrative que dans le cadre de la procédure de recours. Ainsi en premier lieu, il se justifie de discuter du rapport d’IRM du coude droit du</w:t>
      </w:r>
    </w:p>
    <w:p>
      <w:r>
        <w:rPr>
          <w:b/>
        </w:rPr>
        <w:t>E. 24</w:t>
      </w:r>
    </w:p>
    <w:p>
      <w:r>
        <w:t>mai 2022, soit à peine quelques jours après l’examen du Dr G______, qui fait état d’une tendinopathie fissuraire avec tendinose marquée à l’attache profonde des tendons extenseurs, une discrète tendinopathie insertionnelle des tendons fléchisseurs et un discret épanchement intra-articulaire réactionnel sans image de fracture sous-jacente. Par courriel du 15 novembre 2022 (pièce 219 intimée), le Dr G______ a indiqué à l’assureur que ce dernier mentionnait entre autres « suffusion hémorragique en superficie du muscle annoncé », ce qui évoquait l’existence d’un traumatisme récent. L’examen ayant été réalisé après son expertise, il ne pouvait pas se prononcer sans connaître l’évolution ultérieure. Par conséquent, ce document met en lumière des éléments dont le Dr G______ reconnaît ne pas avoir tenu compte puisque postérieurs à son analyse. Il indique ne pas pouvoir se prononcer à défaut de connaître l’évolution, étant relevé qu’il émet la possibilité que ces nouvelles constatations soient en lien avec un éventuel nouveau sinistre sans que cela n’ait été investigué. Dans son rapport de juillet 2022 (pièce 191 intimée), le Dr D______ se limite à constater que le Dr G______ a fait une expertise exhaustive mais maintient le diagnostic d’épicondylite au niveau de son coude droit post-traumatique et souligne l’absence d’antécédent au niveau du coude droit, de sorte qu’il y avait un lien direct avec l’accident. Le 19 décembre 2022 (pièce 223 intimée), la Dresse H______ conclut à des épicondylalgies droites avec douleurs de type neuropathique, post-traumatiques, sur fissures de tendon des muscles extenseurs, probable SDRC secondaire.</w:t>
      </w:r>
    </w:p>
    <w:p>
      <w:r>
        <w:t>A/880/2023 - 20/22 - Dans son rapport du 4 juillet 2022 (pièce 188 intimée), le Dr F______ dit partager en bonne partie les conclusions du Dr G______ tout en relevant que son examen clinique constate notamment une douleur élective à la palpation de l’épicondyle, des muscles épicondyliens et à l’extension contrariée du poignet. Les conclusions de l’IRM de mai 2022 semblant corroborer une pathologie tendineuse qui pouvait effectivement être douloureuse. Il conclut qu’il est difficile d’envisager que l’assurée puisse avoir une activité professionnelle, d’une part à cause de son coude, d’autre part à cause de sa surcharge émotionnelle. Pour la première fois, le 19 juin 2023 (rapport produit par la recourante), le Dr F______ a relevé que le travail de l’assurée vu les mouvements répétitifs pouvait être responsable d’une épicondylite ou avoir contribué à la pérennisation de la symptomatologie. Il a mentionné, s’agissant de l’IRM d’avril 2021, que si le muscle mentionné était correct, il était logique que l’expert ait retenu que cela n’avait pas pu être provoqué par un choc latéral du coude droit selon toute vraisemblance. Il restait toutefois cette notion de traumatisme sur la face latérale du coude dont on sait qu’elle peut entraîner une épicondylite après la contusion de la protubérance osseuse latérale du coude. Ses examens cliniques montraient une tuméfaction de l’épicondyle avec des douleurs à la mise sous tension des muscles épicondyliens et à l’extension contrariée du poignet avec difficulté de tenir l’extension contre-résistance. Selon lui, il semblait difficile de présenter ce genre de symptomatologie sans qu’il y ait épicondylite. 14. Il ressort de ce qui précède que le Dr G______ n'a pas procédé à une étude fouillée du cas et qu’il n’a pas eu accès à un dossier complet. A cela s’ajoute qu’il reconnaît lui-même ne pas pouvoir se prononcer sur l’IRM de mai 2022. En conséquence, son appréciation ne répond pas aux exigences de la jurisprudence relative à la valeur probante d'une expertise. Les rapports des médecins traitants ne sont par ailleurs pas suffisamment probants car ils ne déterminent pas concrètement les atteintes de la recourante et se basent pour l’essentiel sur le principe post ergo. A cela s’ajoute qu’il est reconnu une composante psychique qui a certes été mentionnée mais jamais investiguée. En l’état du dossier, il n’est donc pas possible de trancher quelles sont les atteintes encore présentées par la recourante, notamment l’existence ou non d’une épicondylite ou d’un SDRC ainsi que, le cas échéant, leurs répercussions et en particulier leur éventuel lien de causalité avec l’accident de décembre 2019 au- delà du 30 juin 2022. Par ailleurs, on ne saurait nier d'emblée tout caractère professionnel à l'affection dont souffre la recourante, ce point n’ayant jamais été investigué.</w:t>
      </w:r>
    </w:p>
    <w:p>
      <w:r>
        <w:t>A/880/2023 - 21/22 - La Cour de céans considère que l’audition des Drs H______ et F______ qui ont par ailleurs déjà eu l’occasion de se prononcer par écrit n’est pas susceptible de permettre la résolution de la présente affaire tant une instruction complémentaire étendue est nécessaire. Il est en effet nécessaire de recourir à une expertise indépendante qui devra comprendre à tout le moins les volets orthopédique, neurologique et psychiatrique (art. 44 LPGA). Il sera précisé que, s’agissant d’une expertise complète, un nouvel expert devra également être désigné en ce qui concerne le volet orthopédique. À cette fin, la cause est renvoyée à l'intimée pour complément d'instruction sous la forme d’une expertise après actualisation du dossier médical et nouvelle décision. Un renvoi à l'administration se justifie d'autant plus que l'intimée a insuffisamment instruit le dossier. 15. Au vu de ce qui précède, le recours est partiellement admis, la décision litigieuse annulée, et la cause renvoyée à l'intimée afin qu'elle procède conformément aux considérants. 16. La recourante, représentée par un avocat, obtenant partiellement gain de cause, une indemnité lui sera accordée à titre de participation à ses frais et dépens (art. 61 let. g LPGA; art. 6 du règlement sur les frais, émoluments et indemnités en matière administrative du 30 juillet 1986 [RFPA - E 5 10.03]), fixée en l'espèce à CHF 2'500.-. 17. Pour le surplus, la procédure est gratuite (art. 61 let. fbis LPGA a contrario).</w:t>
      </w:r>
    </w:p>
    <w:p>
      <w:r>
        <w:t>***</w:t>
      </w:r>
    </w:p>
    <w:p>
      <w:r>
        <w:t>A/880/2023 - 22/22 -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