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ATAS/73/2023 vom 7. Februar 2023</w:t>
      </w:r>
    </w:p>
    <w:p>
      <w:r>
        <w:t>GE Cour de justice, 2023-02-07, FR</w:t>
      </w:r>
    </w:p>
    <w:p>
      <w:r>
        <w:rPr>
          <w:b/>
        </w:rPr>
        <w:t xml:space="preserve">Quelle: </w:t>
      </w:r>
      <w:r>
        <w:t>https://mcp.opencaselaw.ch/entscheid/ge_gerichte_ATAS_73_2023</w:t>
      </w:r>
    </w:p>
    <w:p>
      <w:r>
        <w:t>FR: GE_GERICHTE ATAS/73/2023 du 7 février 2023</w:t>
      </w:r>
    </w:p>
    <w:p>
      <w:r>
        <w:t>IT: GE_GERICHTE ATAS/73/2023 del 7 febbraio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(du 14 janvier 2022) a été interjeté postérieurement au 1er janvier 2021, il est soumis au nouveau droit (cf. art. 82a LPGA a contrario).</w:t>
      </w:r>
    </w:p>
    <w:p>
      <w:r>
        <w:rPr>
          <w:b/>
        </w:rPr>
        <w:t>E. 4</w:t>
      </w:r>
    </w:p>
    <w:p>
      <w:r>
        <w:t>Le 1er janvier 2022, sont entrées en vigueur les modifications de la LAI du 19 juin 2020 (développement continu de l’AI ; RO 2021 705).</w:t>
      </w:r>
    </w:p>
    <w:p>
      <w:r>
        <w:rPr>
          <w:b/>
        </w:rPr>
        <w:t>E. 4.1</w:t>
      </w:r>
    </w:p>
    <w:p>
      <w:r>
        <w:t>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w:t>
      </w:r>
    </w:p>
    <w:p>
      <w:r>
        <w:rPr>
          <w:b/>
        </w:rPr>
        <w:t>E. 4.2</w:t>
      </w:r>
    </w:p>
    <w:p>
      <w:r>
        <w:t>En l’occurrence, la décision querellée (du 2 décembre 2021) a été rendue antérieurement au 1er janvier 2022, de sorte que les dispositions légales applicables seront citées dans leur ancienne teneur.</w:t>
      </w:r>
    </w:p>
    <w:p>
      <w:r>
        <w:t>A/154/2022 - 6/19 -</w:t>
      </w:r>
    </w:p>
    <w:p>
      <w:r>
        <w:rPr>
          <w:b/>
        </w:rPr>
        <w:t>E. 5</w:t>
      </w:r>
    </w:p>
    <w:p>
      <w:r>
        <w:t>Le délai de recours est de trente jours (art. 56 et 60 LPGA; art. 62 al. 1 let. a de la loi sur la procédure administrative, du 12 septembre 1985 [LPA - E 5 10]). Interjeté dans la forme (art. 61 let. b LPGA) et le délai prévus par la loi, compte tenu de la suspension des délais pendant la période du 18 décembre au 2 janvier inclusivement (art. 38 al. 4 let. c LPGA et art. 89C let. c LPA), le recours est recevable.</w:t>
      </w:r>
    </w:p>
    <w:p>
      <w:r>
        <w:rPr>
          <w:b/>
        </w:rPr>
        <w:t>E. 6</w:t>
      </w:r>
    </w:p>
    <w:p>
      <w:r>
        <w:t>À titre préalable, le recourant invoque une violation de son droit d'être entendu, au motif qu'il n'a pu s'exprimer sur les conclusions de l'expertise du CEMEDEX avant le prononcé de la décision entreprise.</w:t>
      </w:r>
    </w:p>
    <w:p>
      <w:r>
        <w:rPr>
          <w:b/>
        </w:rPr>
        <w:t>E. 6.1</w:t>
      </w:r>
    </w:p>
    <w:p>
      <w:r>
        <w:t>Ce grief, de nature formelle, doit être examiné en premier lieu (ATF 127 V 431 consid. 3d/aa; 124 V 90 consid. 2 notamment).</w:t>
      </w:r>
    </w:p>
    <w:p>
      <w:r>
        <w:rPr>
          <w:b/>
        </w:rPr>
        <w:t>E. 6.2</w:t>
      </w:r>
    </w:p>
    <w:p>
      <w:r>
        <w:t>La jurisprudence, rendue sous l’empire de l’art. 4 aCst. et qui s’applique également à l’art. 29 al. 2 de la Constitution fédérale de la Confédération suisse, du 18 avril 1999 (Cst. – RS 101;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124 V 375 consid. 3b et les références).</w:t>
      </w:r>
    </w:p>
    <w:p>
      <w:r>
        <w:rPr>
          <w:b/>
        </w:rPr>
        <w:t>E. 6.3</w:t>
      </w:r>
    </w:p>
    <w:p>
      <w:r>
        <w:t>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137 I 195 consid. 2.3.2). La réparation d'un vice éventuel doit cependant demeurer l'exception (ATF 127 V 431 consid. 3d/aa;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(ATA/304/2013 du 14 mai 2013 consid. 4. c).</w:t>
      </w:r>
    </w:p>
    <w:p>
      <w:r>
        <w:rPr>
          <w:b/>
        </w:rPr>
        <w:t>E. 6.4</w:t>
      </w:r>
    </w:p>
    <w:p>
      <w:r>
        <w:t>En l'espèce, il est vrai que, en procédure administrative, l'intimé a envoyé le rapport d'expertise du CEMEDEX au recourant le 12 janvier 2022 après que la décision litigieuse du 2 décembre 2021 ait été rendue. Ceci étant, dans le cadre de la procédure contentieuse devant la chambre de céans, autorité judiciaire ayant plein pouvoir de cognition (arrêt du Tribunal fédéral 9C_127/2007 du 12 février</w:t>
      </w:r>
    </w:p>
    <w:p>
      <w:r>
        <w:t>A/154/2022 - 7/19 - 2008 consid. 2.2), le recourant a eu la possibilité de se prononcer sur cette pièce, en toute connaissance de cause. Par conséquent, le grief tiré de la violation du droit d'être entendu doit être écarté, sans préjudice pour le recourant.</w:t>
      </w:r>
    </w:p>
    <w:p>
      <w:r>
        <w:rPr>
          <w:b/>
        </w:rPr>
        <w:t>E. 7</w:t>
      </w:r>
    </w:p>
    <w:p>
      <w:r>
        <w:t>Le litige porte sur le point de savoir si le recourant a droit à une rente d'invalidité supérieure à un quart dès le 1er novembre 2018, plus particulièrement sur l'appréciation de sa capacité de travail.</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8.1</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8.2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8.3</w:t>
      </w:r>
    </w:p>
    <w:p>
      <w:r>
        <w:t>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rPr>
          <w:b/>
        </w:rPr>
        <w:t>E. 8.4</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w:t>
      </w:r>
    </w:p>
    <w:p>
      <w:r>
        <w:t>A/154/2022 - 8/19 - LPGA. Selon l’art. 29 al. 3 LAI, la rente est versée dès le début du mois au cours duquel le droit prend naissance.</w:t>
      </w:r>
    </w:p>
    <w:p>
      <w:r>
        <w:rPr>
          <w:b/>
        </w:rPr>
        <w:t>E. 8.5</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w:t>
      </w:r>
    </w:p>
    <w:p>
      <w:r>
        <w:rPr>
          <w:b/>
        </w:rPr>
        <w:t>E. 9</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I.786/04 du 19 janvier 2006 consid. 3.1).</w:t>
      </w:r>
    </w:p>
    <w:p>
      <w:r>
        <w:rPr>
          <w:b/>
        </w:rPr>
        <w:t>E. 9.1</w:t>
      </w:r>
    </w:p>
    <w:p>
      <w:r>
        <w:t>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w:t>
      </w:r>
    </w:p>
    <w:p>
      <w:r>
        <w:rPr>
          <w:b/>
        </w:rPr>
        <w:t>E. 9.2</w:t>
      </w:r>
    </w:p>
    <w:p>
      <w:r>
        <w:t>Dans l’ATF 141 V 281, le Tribunal fédéral a revu et modifié en profondeur le schéma d'évaluation de la capacité de travail, respectivement de l'incapacité de travail, en cas de syndrome douloureux somatoforme et d'affections</w:t>
      </w:r>
    </w:p>
    <w:p>
      <w:r>
        <w:t>A/154/2022 - 9/19 -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w:t>
      </w:r>
    </w:p>
    <w:p>
      <w:r>
        <w:rPr>
          <w:b/>
        </w:rPr>
        <w:t>E. 9.3</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w:t>
      </w:r>
    </w:p>
    <w:p>
      <w:r>
        <w:t>A/154/2022 - 10/19 - Les indicateurs appartenant à la catégorie « degré de gravité fonctionnel » forment le socle de base pour l’évaluation des troubles psychiques (ATF 141 V 281 consid. 4.3 ; arrêt du Tribunal fédéral 9C_618/2019 du 16 mars 2020 consid. 8.2).</w:t>
      </w:r>
    </w:p>
    <w:p>
      <w:r>
        <w:rPr>
          <w:b/>
        </w:rPr>
        <w:t>E. 9.4</w:t>
      </w:r>
    </w:p>
    <w:p>
      <w:r>
        <w:t>Les principes jurisprudentiels développés en matière de troubles somatoformes douloureux sont également applicables en cas de troubles moteurs dissociatifs (arrêt du Tribunal fédéral 9C_903/2007 du 30 avril 2008 consid. 3.4).</w:t>
      </w:r>
    </w:p>
    <w:p>
      <w:r>
        <w:rPr>
          <w:b/>
        </w:rPr>
        <w:t>E. 10</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10.1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10.2</w:t>
      </w:r>
    </w:p>
    <w:p>
      <w:r>
        <w:t>Sans remettre en cause le principe de la libre appréciation des preuves, le Tribunal fédéral des assurances a posé des lignes directrices en ce qui concerne la manière d'apprécier certains types d'expertises ou de rapports médicaux.</w:t>
      </w:r>
    </w:p>
    <w:p>
      <w:r>
        <w:t>A/154/2022 - 11/19 -</w:t>
      </w:r>
    </w:p>
    <w:p>
      <w:r>
        <w:rPr>
          <w:b/>
        </w:rPr>
        <w:t>E. 10.2.1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10.2.2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w:t>
      </w:r>
    </w:p>
    <w:p>
      <w:r>
        <w:rPr>
          <w:b/>
        </w:rPr>
        <w:t>E. 10.2.3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11</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w:t>
      </w:r>
    </w:p>
    <w:p>
      <w:r>
        <w:t>A/154/2022 - 12/19 - degré de gravité susceptible d'occasionner des limitations dans les fonctions de la vie courante (arrêt du Tribunal fédéral 9C_551/2019 du 24 avril 2020 consid. 4.1 et la référence).</w:t>
      </w:r>
    </w:p>
    <w:p>
      <w:r>
        <w:rPr>
          <w:b/>
        </w:rPr>
        <w:t>E. 11.1</w:t>
      </w:r>
    </w:p>
    <w:p>
      <w:r>
        <w:t>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 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rPr>
          <w:b/>
        </w:rPr>
        <w:t>E. 11.2</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arrêt du Tribunal fédéral 9C_585/2019 du 3 juin 2020 consid. 2 et les références). Il peut ainsi arriver que les organes d'application du droit se distancient de l'évaluation médicale de la capacité de travail établie par l’expertise</w:t>
      </w:r>
    </w:p>
    <w:p>
      <w:r>
        <w:t>A/154/2022 - 13/19 -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A/154/2022 - 14/19 -</w:t>
      </w:r>
    </w:p>
    <w:p>
      <w:r>
        <w:rPr>
          <w:b/>
        </w:rPr>
        <w:t>E. 13.1</w:t>
      </w:r>
    </w:p>
    <w:p>
      <w:r>
        <w:t>En l'occurrence, la décision litigieuse repose sur l'avis du SMR du 12 octobre 2021, lui-même basé sur le rapport d'expertise du CEMEDEX du 3 septembre 2021. Le recourant conteste la valeur probante de ce rapport, singulièrement le taux de capacité de travail de 60% dans toute activité, retenu de manière consensuelle par les experts.</w:t>
      </w:r>
    </w:p>
    <w:p>
      <w:r>
        <w:rPr>
          <w:b/>
        </w:rPr>
        <w:t>E. 13.2</w:t>
      </w:r>
    </w:p>
    <w:p>
      <w:r>
        <w:t>Sur la forme, certes, ce rapport d'expertise est fondé sur l'examen du recourant par des spécialistes des disciplines médicales pertinentes eu égard aux atteintes à la santé invoquées, effectué les 18 juin (neurologie et rhumatologie), 29 juin (médecine interne générale), et 6 juillet 2021 (psychiatrie), sur une analyse du dossier et comprend une anamnèse, ainsi que les plaintes du recourant, de même qu'une évaluation consensuelle du cas.</w:t>
      </w:r>
    </w:p>
    <w:p>
      <w:r>
        <w:rPr>
          <w:b/>
        </w:rPr>
        <w:t>E. 13.3</w:t>
      </w:r>
    </w:p>
    <w:p>
      <w:r>
        <w:t>Ceci étant, sur le fond, si les conclusions des experts sous l'angle somatique emportent la conviction, il en va différemment s'agissant de l'appréciation psychique, pour les motifs qui suivent.</w:t>
      </w:r>
    </w:p>
    <w:p>
      <w:r>
        <w:rPr>
          <w:b/>
        </w:rPr>
        <w:t>E. 13.3.1</w:t>
      </w:r>
    </w:p>
    <w:p>
      <w:r>
        <w:t>Sur le plan de la médecine interne générale, l'expert a retenu, sans effet sur la capacité de travail, les diagnostics de status postcarcinome épidermoïde sous- cutané au niveau cervical postérieur gauche opéré en 2009, de surpoids, de syndrome d'apnées du sommeil appareillé, d'hypertension artérielle, d'insuffisance rénale stade II, d'insuffisance veineuse des membres inférieurs, de pityriasis versicolor, et de marisques hémorraoïdaires. L'expert a indiqué que le syndrome d'apnées du sommeil (constaté le 11 juillet 2019 [rapport de polysomnographie, dossier intimé p. 235]), bien stabilisé, s'est corrigé avec la mise sous CPAP (rapport du 8 octobre 2019 de la pneumologue traitante, dossier intimé p. 305), tout en précisant que la fatigue chronique, les tremblements des quatre membres, les troubles cognitifs et de la concentration, les douleurs musculaires et les arthralgies chroniques relevaient de l'appréciation des experts psychiatre, neurologue et rhumatologue (dossier intimé p. 880-881). Aucun rapport médical au dossier ne fait état du caractère incapacitant des diagnostics posés supra. Aussi y a-t-il lieu d'admettre, avec l'expert, que sous l'angle de la médecine interne générale, le recourant dispose d'une pleine capacité de travail dans toute activité.</w:t>
      </w:r>
    </w:p>
    <w:p>
      <w:r>
        <w:rPr>
          <w:b/>
        </w:rPr>
        <w:t>E. 13.3.2</w:t>
      </w:r>
    </w:p>
    <w:p>
      <w:r>
        <w:t>Sur le plan rhumatologique, l'expert a retenu le diagnostic, avec répercussion sur la capacité de travail, de rachialgie sur très légers signes de maladie de Scheuermann en D12-L1 et une discopathie L4-L5 et L5-S1 (mises en évidence sur la radiographie de la colonne totale du 9 septembre 2019 [dossier intimé p. 387]), et celui, sans impact sur la capacité de travail, d'arthromyalgies chroniques, avec survenue de crise aléatoire (se manifestant par des tremblements), sans cause rhumatologique retrouvée (dossier intimé p. 900), tout en expliquant la raison pour laquelle il excluait le diagnostic de fibromyalgie (p. 901). Sur la base du dossier et de son examen clinique, l'expert a constaté, s'agissant des arthromyalgies, qu'il n'existait aucune atteinte articulaire et musculaire dégénérative ou inflammatoire, et conclu que le syndrome avait une origine fonctionnelle (p. 901) (c'est-à-dire psychiatrique). L'expert a considéré que</w:t>
      </w:r>
    </w:p>
    <w:p>
      <w:r>
        <w:t>A/154/2022 - 15/19 - le recourant était totalement apte à travailler dans toute activité sans efforts de soulèvement de plus de 10 kg à partir du sol, sans positions en porte-à-faux du buste et sans port de charges supérieures à 15 kg proche du corps, et ajouté que la dernière activité exercée en informatique (sédentaire) était compatible avec ces limitations, depuis toujours (p. 901-902). Dans la mesure où aucun rapport médical au dossier ne remet en cause cette appréciation ‒ étant souligné que, dans ses rapports des 18 novembre 2019 et 30 mars 2020 (dossier intimé p. 361-365), la rhumatologue traitante a mentionné que sur le plan ostéoarticulaire, aucune maladie ne limitait les amplitudes et que les douleurs éprouvées entraînaient une certaine fatigabilité à l'effort (n'empêchant donc pas à l'exercice d'une activité sédentaire en informatique ) ‒, il convient de suivre les conclusions de l'expert rhumatologue.</w:t>
      </w:r>
    </w:p>
    <w:p>
      <w:r>
        <w:rPr>
          <w:b/>
        </w:rPr>
        <w:t>E. 13.3.3</w:t>
      </w:r>
    </w:p>
    <w:p>
      <w:r>
        <w:t>Sur le plan neurologique, l'expert n'a retenu aucun diagnostic incapacitant, en précisant que les explorations médicales effectuées jusqu'alors permettaient d'éliminer toute origine neurologique des épisodes de tremblements dont souffrait le recourant (dossier intimé p. 886-887). Dans un rapport du 1er juillet 2020 (dossier intimé p. 577-580), le département des neurosciences cliniques des HUG avait conclu, au regard des examens réalisés (dont notamment IRM cérébrale, électro-encéphalogramme, électro-neuromyogramme), que le recourant présentait un trouble neurologique fonctionnel. Aussi convient-il d'admettre, avec l'expert, que, d'un point de vue strictement neurologique, la capacité de travail du recourant est entière; ses limitations, imputables aux crises de tremblements, à l'état de fatigue et d'épuisement qui suivent ces crises (p. 887), étant d'ordre psychique.</w:t>
      </w:r>
    </w:p>
    <w:p>
      <w:r>
        <w:rPr>
          <w:b/>
        </w:rPr>
        <w:t>E. 13.3.4</w:t>
      </w:r>
    </w:p>
    <w:p>
      <w:r>
        <w:t>Sur le plan psychique, l'expert a posé (dossier intimé p. 893) les diagnostics de troubles moteurs dissociatifs (F44.4) ‒ à l'instar du Dr D______, psychiatre (p. 200) ‒ et de trouble de personnalité, sans précision (F60.9) ‒ retenu pour la première fois; les médecins ayant examiné le recourant auparavant mentionnaient plutôt des traits de personnalités borderline (p. 52) ou narcissique (p. 200). Le trouble dissociatif moteur figure au chiffre F44.4 de la Classification internationale des maladies (CIM-10), selon lequel « dans les formes les plus fréquentes, il existe une perte de la capacité de bouger une partie ou la totalité d'un membre ou de plusieurs membres; les manifestations de ce trouble peuvent ressembler à celles de pratiquement toutes les formes d'ataxie, d'apraxie, d'akinésie, d'aphonie, de dysarthrie, de dyskinésie, de convulsions ou de paralysie » (arrêt du Tribunal fédéral 9C_422/2016 du 23 janvier 2017 consid. 5.1). Le Dr B______ (psychiatre), quant à lui, avait mis les crises de tremblements sur le compte d'un trouble panique (p. 59). Ceci dit, c'est l'influence d'une atteinte à la santé sur la capacité de travail qui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w:t>
      </w:r>
    </w:p>
    <w:p>
      <w:r>
        <w:t>A/154/2022 - 16/19 - consultés, peut aboutir à des résultats différents en raison précisément de la marge d'appréciation inhérente à la science médicale (ATF 145 V 361 consid. 4.1.2; arrêts du Tribunal fédéral 9C_212/2020 du 4 septembre 2020 consid. 4.2 et 9C_762/2019 du 16 juin 2020 consid. 5.2). Ce sont donc les répercussions fonctionnelles de l'atteinte à la santé psychique sur la capacité de travail qui importent. À cet égard, l'expert psychiatre du CEMEDEX a considéré que le recourant peut exercer toute activité à plein temps, avec une baisse de rendement de 40%, dès le 2 novembre 2017, en précisant que l'activité habituelle respecte les limitations fonctionnelles, à savoir le contact à l'autre (qui est difficile) et les difficultés à respecter l'autorité (qui « serait de toute façon mise à mal »; dossier intimé p. 895). Cependant, l'expert n'explique pas les motifs pour lesquels il retient une diminution de rendement à hauteur de 40%. Si le contact à l'autre est difficile et que le recourant aura des difficultés à supporter l'autorité, on ne voit pas comment celui-ci pourra, selon l'expert, néanmoins travailler en groupe (p. 895), ce à 60%. Son appréciation se révèle être incohérente. Par ailleurs, dans un premier temps, l'expert a indiqué que le trouble de personnalité n'est pas incapacitant (p. 894), mais a ensuite mentionné, de manière contradictoire, que les limitations fonctionnelles sont en rapport avec le trouble de personnalité, et que la persévérance du recourant est limitée par une psychasthénie (p. 895). Qui plus est, l'expert du CEMEDEX, qui reconnaît une capacité de travail de 60%, a estimé que la symptomatologie n'a pas évolué depuis le 1er novembre 2017 (p. 894). Or, lors de l'expertise du 15 mars 2018, le Dr B______ avait observé que le recourant avait notamment de la peine à garder le focus, qu'il devait faire des pauses toutes les dix minutes (dossier intimé p. 56), qu'il présentait un ralentissement psychomoteur moyen, et que ses capacités de communiquer, de respecter un cadre, de s'adapter avec flexibilité et de s'organiser étaient hypothéquées (p. 59). Les limitations fonctionnelles étaient en particulier : fatigabilité, baisse de la concentration et de la mémoire, risque accru d'erreurs, difficultés à exprimer les compétences relationnelles, sociales, professionnelles, perte d'autonomie y compris dans la gestion du quotidien, et épuisement, justifiant une totale incapacité de travail jusqu'à fin avril 2018, en tous cas (p. 59-60). Le Dr B______ a ensuite admis une incapacité de travail totale jusqu'au 3 octobre 2018, sur la base du rapport des HUG du 3 juillet 2018, en ajoutant qu'au-delà de cette date, une nouvelle expertise s'imposait en cas de prolongation de l'arrêt de travail (p. 123). L'expert psychiatre du CEMEDEX semble donc avoir faire fi des restrictions psychiques admises à l'époque par son confrère, à tout le moins jusqu'au 3 octobre 2018. Or, le rapport du Dr B______ revêt pleine force probante, dès lors qu'il répond aux exigences générales en matière de preuves (ATF 134 V 231 consid. 5.1) et qu'il est convaincant au vu des indicateurs pertinents à la lumière de l’ATF 141 V 281 (le Dr B______ a conclu que le rendement était nul compte tenu des</w:t>
      </w:r>
    </w:p>
    <w:p>
      <w:r>
        <w:t>A/154/2022 - 17/19 - nombreuses limitations fonctionnelles retenues, du fait que le recourant n'était pas autonome dans la gestion du quotidien, et que le pronostic ‒ et donc la reprise de la capacité de travail ‒ dépendait du traitement qu'il recommandait [dossier intimé p. 51-60], soit un traitement psychiatrique et psychothérapeutique ambulatoire intensif ainsi qu'un traitement antidépresseur [p. 59-60]). Ceci dit, il ressort du dossier que les différentes molécules prescrites ont entraîné des effets indésirables (p. 115, 121, 427, 871, 894), et que selon l'expert psychiatre du CEMEDEX, le trouble dissociatif et de personnalité constitue un réel frein à l'efficacité de la psychothérapie que suit le recourant (p. 894). En d'autres termes, en l'absence d'un traitement suivi avec succès en raison ‒ selon l'expert du CEMEDEX ‒ du trouble dissociatif et de personnalité, le recourant ne peut en fait avoir recouvré une certaine capacité de travail. Preuve en est que d'après le département de santé mentale et de psychiatrie des HUG, l'état de santé chronique du recourant ne lui permet pas de travailler à un taux supérieur à 20%, malgré la coopération de celui- ci aux thérapies (rapport du 12 avril 2022). Au vu des limitations fonctionnelles reconnues par l'expert psychiatre du CEMEDEX (contact difficile, difficultés à supporter l'autorité et à s'adapter au changement), force est de conclure que le recourant n'est plus en mesure de retrouver un emploi à la structure de sa personnalité sur un marché équilibré du travail. On se demande en effet quel employeur prendrait le risque d'engager une personne qui présente un contact difficile à l'autre ainsi que des difficultés à respecter l'autorité (soit l'entreprise qui l'embaucherait). En conséquence, faute de capacité résiduelle de travail depuis le 1er novembre 2017, le recourant est totalement invalide, et partant, a droit à une rente entière d'invalidité (art. 28 al. 2 LAI) à compter du 1er novembre 2018, à l'échéance du délai d'attente d'un an (art. 28 al. 1 let. b et c LAI; art. 29 al. 1 et 3 LAI). Le fait que le recourant puisse faire des courses, cuisiner, accompagner son épouse et ses petits-enfants au jardin familial, ou soit bénévole pour une association qui distribue des dons en Afrique (dossier intimé p. 894, 901) ne modifie pas la solution du litige, dès lors que de l'avis de tous les médecins ayant examiné le recourant, y compris les experts, la souffrance du recourant est réelle, et que les activités quotidiennes qu'effectue celui-ci sont fonction des douleurs ressenties (dossier intimé p. 617, 901). L'expertise du Dr D______ du 28 février 2019 confirme également qu'en l'état, le recourant n'est pas en mesure de travailler sans aide par une mesure d'ordre professionnel. Tant qu'une telle mesure n'a pas été mise en œuvre, il convient de constater que l'incapacité est totale, étant précisé que le Dr D______ a admis une incapacité de travail totale depuis le 1er novembre 2017 (dossier intimé p. 201- 202).</w:t>
      </w:r>
    </w:p>
    <w:p>
      <w:r>
        <w:rPr>
          <w:b/>
        </w:rPr>
        <w:t>E. 14</w:t>
      </w:r>
    </w:p>
    <w:p>
      <w:r>
        <w:t>Quoi qu'il en soit, même en admettant que le recourant peut encore travailler à 60%, il appert qu'aucun employeur n'accepterait de l'engager. En effet, les crises</w:t>
      </w:r>
    </w:p>
    <w:p>
      <w:r>
        <w:t>A/154/2022 - 18/19 - surviennent de façon aléatoire. Le recourant doit alors se coucher ou s'assoir. Après une crise, il a besoin d'un moment de récupération. Il est ainsi difficile de compter sur un tel employé qui risque d'être incapable de travailler au moment inopportun. À cela s'ajoute que le contact avec le recourant est difficile et qu'il a des difficultés à respecter l'autorité, ce qui est également admis par les experts du CEMEDEX. De surcroît, il souffre de douleurs chroniques qui ont un impact sur la concentration et ainsi la qualité de travail. Dans ces conditions, on ne voit pas comment le recourant pourrait être imposé à un employeur. Par conséquent, il n'est pas possible de mettre en valeur l'éventuelle capacité de travail résiduelle.</w:t>
      </w:r>
    </w:p>
    <w:p>
      <w:r>
        <w:rPr>
          <w:b/>
        </w:rPr>
        <w:t>E. 15</w:t>
      </w:r>
    </w:p>
    <w:p>
      <w:r>
        <w:t>Au vu de ce qui précède, le recours sera admis, et la décision litigieuse réformée en ce sens que le recourant a droit à une rente entière d'invalidité dès le 1er novembre 2018.</w:t>
      </w:r>
    </w:p>
    <w:p>
      <w:r>
        <w:rPr>
          <w:b/>
        </w:rPr>
        <w:t>E. 16</w:t>
      </w:r>
    </w:p>
    <w:p>
      <w:r>
        <w:t>Le recourant, représenté par son avocat, obtenant gain de cause, une indemnité lui sera accordée à titre de participation à ses frais et dépens (art. 61 let. g LPGA; art. 6 du règlement sur les frais, émoluments et indemnités en matière administrative du 30 juillet 1986 [RFPA - E 5 10.03]; art. 89H al. 3 LPA), fixée en l'espèce à CHF 2'000.-.</w:t>
      </w:r>
    </w:p>
    <w:p>
      <w:r>
        <w:rPr>
          <w:b/>
        </w:rPr>
        <w:t>E. 17</w:t>
      </w:r>
    </w:p>
    <w:p>
      <w:r>
        <w:t>Au vu du sort du recours, il y a lieu de condamner l'intimé au paiement d'un émolument, arrêté à CHF 200.- (art. 69 al. 1bis LAI).</w:t>
      </w:r>
    </w:p>
    <w:p>
      <w:r>
        <w:t>A/154/2022 - 19/19 -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