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ATAS/73/2021 vom 8. Februar 2021</w:t>
      </w:r>
    </w:p>
    <w:p>
      <w:r>
        <w:t>GE Cour de justice, 2021-02-08, FR</w:t>
      </w:r>
    </w:p>
    <w:p>
      <w:r>
        <w:rPr>
          <w:b/>
        </w:rPr>
        <w:t xml:space="preserve">Quelle: </w:t>
      </w:r>
      <w:r>
        <w:t>https://mcp.opencaselaw.ch/entscheid/ge_gerichte_ATAS_73_2021</w:t>
      </w:r>
    </w:p>
    <w:p>
      <w:r>
        <w:t>FR: GE_GERICHTE ATAS/73/2021 du 8 février 2021</w:t>
      </w:r>
    </w:p>
    <w:p>
      <w:r>
        <w:t>IT: GE_GERICHTE ATAS/73/2021 del 8 febbraio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du 14 septembre 2018 contre la décision du 8 août 2018 est recevable (art. 56 ss LPGA et 62 ss LPA).</w:t>
      </w:r>
    </w:p>
    <w:p>
      <w:r>
        <w:rPr>
          <w:b/>
        </w:rPr>
        <w:t>E. 4</w:t>
      </w:r>
    </w:p>
    <w:p>
      <w:r>
        <w:t>Le litige porte sur le droit de l'intimé de réclamer au recourant le remboursement de la somme de CHF 84’879.-, représentant le rétroactif des rentes d'invalidité versées du 1er juin 2013 au 30 juin 2018.</w:t>
      </w:r>
    </w:p>
    <w:p>
      <w:r>
        <w:rPr>
          <w:b/>
        </w:rPr>
        <w:t>E. 5</w:t>
      </w:r>
    </w:p>
    <w:p>
      <w:r>
        <w:t>a. Selon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Conformément à l'art. 3 de l'ordonnance sur la partie générale du droit des assurances sociales du 11 septembre 2002 (OPGA - RS 830.11), l'étendue de l'obligation de restituer est fixée par une décision (al. 1), dans laquelle l'assureur indique la possibilité d'une remise (al. 2).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w:t>
      </w:r>
    </w:p>
    <w:p>
      <w:r>
        <w:t>A/3189/2018 - 15/23 - dans une situation difficile (al. 3). La demande de remise doit être présentée par écrit. Elle doit être motivée, accompagnée des pièces nécessaires et déposée au plus tard trente jours à compter de l'entrée en force de la décision de restitution (al. 4). La remise fait l'objet d'une décision (al. 5). 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OPGA ; arrêt du Tribunal fédéral 9C_678/2011 du 4 janvier 2002 consid. 5.1.1 et 5.2).</w:t>
      </w:r>
    </w:p>
    <w:p>
      <w:r>
        <w:rPr>
          <w:b/>
        </w:rPr>
        <w:t>E. 6</w:t>
      </w:r>
    </w:p>
    <w:p>
      <w:r>
        <w:t>En l'espèce, la chambre de céans rappelle tout d'abord qu'elle a déjà jugé, par arrêt du 21 octobre 2019 entré en force (ATAS/951/2019), que les conditions d'une reconsidération étaient réalisées et que l'intimé était fondé à procéder à une nouvelle évaluation de l'invalidité, basée sur la capacité totale de travail dans une activité adaptée aux limitations fonctionnelles, et à supprimer les rentes versées au recourant, avec effet rétroactif au 1er mai 2010, compte tenu du résultat des nouveaux calculs. Les griefs du recourant à cet égard ne sont ainsi pas recevables dans le cadre de la présente procédure, laquelle ne porte plus sur le caractère indu des prestations, en particulier sur les conditions d’une reconsidération ou d’une révision procédurale de la décision initiale.</w:t>
      </w:r>
    </w:p>
    <w:p>
      <w:r>
        <w:rPr>
          <w:b/>
        </w:rPr>
        <w:t>E. 7</w:t>
      </w:r>
    </w:p>
    <w:p>
      <w:r>
        <w:t>Les prestations indûment touchées doivent donc en principe être restituées.</w:t>
      </w:r>
    </w:p>
    <w:p>
      <w:r>
        <w:rPr>
          <w:b/>
        </w:rPr>
        <w:t>E. 8</w:t>
      </w:r>
    </w:p>
    <w:p>
      <w:r>
        <w:t>a. Conformément à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b. Les délais de l'art. 25 al. 2 LPGA sont des délais (relatif et absolu) de péremption, qui doivent être examinés d'office (ATF 142 V 20 consid. 3.2.2 ; ATF 133 V 579 consid. 4). Ils ne peuvent par conséquent être interrompus. Lorsque l'autorité a accompli l'acte conservatoire que prescrit la loi, le délai se trouve sauvegardé, cela une fois pour toutes (arrêt du Tribunal fédéral 8C_616/2009 du 14 décembre 2009 consid. 3.1 et les références).</w:t>
      </w:r>
    </w:p>
    <w:p>
      <w:r>
        <w:t>A/3189/2018 - 16/23 -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À ce défaut, le début du délai de péremption doit être fixé au moment où elle aurait été en mesure de rendre une décision de restitution si elle avait fait preuve de l'attention que l'on pouvait raisonnablement exiger d'elle. Dans tous les cas, le délai de péremption relatif d'une année commence à courir immédiatement s'il s'avère que les prestations en question étaient clairement indues (arrêt du Tribunal fédéral 9C_400/2016 du 2 novembre 2016 consid. 3.1 et les références). Si la créance naît d'un acte punissable pour lequel le droit pénal prévoit un délai plus long, celui-ci est déterminant. En matière d'invalidité, ce sont principalement les infractions réprimées aux art. 146 du Code pénal suisse du 21 décembre 1937 (CP - RS 311.0) (« Escroquerie ») et art. 87 de la loi fédérale sur l’assurance- vieillesse et survivants du 20 décembre 1946 (LAVS - RS 831.10) (« Délits »), applicable par le renvoi de l'art. 70 LAI, qui entrent en considération. En particulier, celui qui aura manqué à son obligation de communiquer (art. 31 al. 1 LPGA) sera puni d'une peine pécuniaire de 180 jours-amende au plus, à moins qu'il ne s'agisse d'un crime ou d'un délit frappé d'une peine plus lourde (art. 87, 6ème paragraphe, LAVS). 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al. 1 du règlement sur l’assurance-invalidité du 17 janvier 1961 (RAI - RS 831.201)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au sens de l'art. 31 al. 1 LPGA, il faut qu'il y ait un comportement fautif ; d'après la jurisprudence, une légère négligence suffit déjà (cf. ATF 112 V 97 consid. 2a). Lorsque le délai de prescription de plus longue durée prévu par le droit pénal s'applique, le point de savoir si l'administration a agi dans le délai relatif d'une</w:t>
      </w:r>
    </w:p>
    <w:p>
      <w:r>
        <w:t>A/3189/2018 - 17/23 - année peut rester ouvert (cf. arrêt du Tribunal fédéral 9C_400/2016 du 2 novembre 2016 consid. 4.1 et 5.2).</w:t>
      </w:r>
    </w:p>
    <w:p>
      <w:r>
        <w:rPr>
          <w:b/>
        </w:rPr>
        <w:t>E. 9</w:t>
      </w:r>
    </w:p>
    <w:p>
      <w:r>
        <w:t>a. En l’occurrence, la chambre de céans a déjà constaté, dans son arrêt du 21 octobre 2019, que le recourant avait violé son obligation de renseigner en omettant d'annoncer la faillite de son entreprise et la cessation de son activité indépendante, de sorte que la décision de rente était entrée en force sur des bases qui ne correspondaient plus à sa situation au moment où elle avait été rendue. Il est également rappelé que l'obligation d'annoncer toute modification de la situation professionnelle figurait clairement dans le courrier de l’intimé du 28 mars 2008, ainsi que dans le projet d’acceptation de rente du 16 septembre 2008, dont la motivation permettait au recourant de se rendre aisément compte qu’un changement de statut était de nature à influencer son droit aux prestations. D’ailleurs, le recourant ne conteste pas ce point. Force est donc de constater que le recourant s’est rendu coupable d'une infraction au sens de l'art. 87, 6ème paragraphe LAVS et que le délai de péremption de plus longue durée prévu par le droit pénal, soit en l'occurrence sept ans (art. 97 al. 1 CP), est applicable. Les rentes dont la restitution est requise ayant été versées au plus tôt au mois de juin 2013, la demande de restitution du 8 août 2018 est par conséquent intervenue dans le délai de sept ans de l'art. 97 al. 1 CP. La question de savoir si l’intimé a agi dans le délai d'une année prévu par l'art. 25 al. 2 LPGA peut donc rester ouverte. b. Enfin, aucun élément ne permet de s'écarter des montants retenus par l'intimé. D'ailleurs, le recourant ne conteste pas la somme de CHF 84’879.- réclamée, mais il soutient que les conditions d’une remise sont remplies.</w:t>
      </w:r>
    </w:p>
    <w:p>
      <w:r>
        <w:rPr>
          <w:b/>
        </w:rPr>
        <w:t>E. 10</w:t>
      </w:r>
    </w:p>
    <w:p>
      <w:r>
        <w:t>Dans ces conditions, la chambre de céans ne peut que confirmer la décision du 8 août 2018 par laquelle l’intimé a réclamé au recourant la restitution d’un montant de CHF 84’879.-, correspondant aux rentes indument perçues du 1er juin 2013 au 30 juin 2018.</w:t>
      </w:r>
    </w:p>
    <w:p>
      <w:r>
        <w:rPr>
          <w:b/>
        </w:rPr>
        <w:t>E. 11</w:t>
      </w:r>
    </w:p>
    <w:p>
      <w:r>
        <w:t>Partant, le recours est rejeté sur ce point.</w:t>
      </w:r>
    </w:p>
    <w:p>
      <w:r>
        <w:rPr>
          <w:b/>
        </w:rPr>
        <w:t>E. 12</w:t>
      </w:r>
    </w:p>
    <w:p>
      <w:r>
        <w:t>Étant donné que le recourant invoque, dans ses écritures des 14 septembre 2018, 10 février et 18 mars 2020, sa bonne foi et sa situation financière difficile, il convient encore d'examiner la recevabilité d'une demande de remise.</w:t>
      </w:r>
    </w:p>
    <w:p>
      <w:r>
        <w:rPr>
          <w:b/>
        </w:rPr>
        <w:t>E. 13</w:t>
      </w:r>
    </w:p>
    <w:p>
      <w:r>
        <w:t>a.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b. Dans la procédure juridictionnelle administrative, ne peuvent être examinés et jugés, en principe, que les rapports juridiques à propos desquels l'autorité</w:t>
      </w:r>
    </w:p>
    <w:p>
      <w:r>
        <w:t>A/3189/2018 - 18/23 -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et les références). Conformément à la jurisprudence fédérale,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(arrêt du Tribunal fédéral 9C_678/2011 du 4 janvier 2012 consid. 3.1).</w:t>
      </w:r>
    </w:p>
    <w:p>
      <w:r>
        <w:rPr>
          <w:b/>
        </w:rPr>
        <w:t>E. 14</w:t>
      </w:r>
    </w:p>
    <w:p>
      <w:r>
        <w:t>a. En l'occurrence, le recourant a adressé le 7 septembre 2018 une demande de remise à l’intimé, lequel n'a pas encore statué formellement sur cette requête dès lors qu'une telle décision n'est prise, sur demande, que lorsque la décision de restitution est entrée en force. Cela étant, dans la décision litigieuse du 8 août 2018, l’intimé a d’emblée exclu toute remise et il s’est expressément déterminé sur la condition de la bonne foi, dans ses écritures des 13 janvier et 9 mars 2020. b. Il se justifie par conséquent d’examiner la question de la remise, quand bien même aucune décision formelle n’a été rendue à cet égard.</w:t>
      </w:r>
    </w:p>
    <w:p>
      <w:r>
        <w:rPr>
          <w:b/>
        </w:rPr>
        <w:t>E. 15</w:t>
      </w:r>
    </w:p>
    <w:p>
      <w:r>
        <w:t>a. Aux termes de l’art. 25 al. 1, 2ème phrase, LPGA, la restitution ne peut être exigée lorsque l'intéressé était de bonne foi et qu'elle le mettrait dans une situation difficile.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w:t>
      </w:r>
    </w:p>
    <w:p>
      <w:r>
        <w:t>A/3189/2018 - 19/23 - On parlera de négligence grave lorsque l'ayant droit ne se conforme pas à ce qui peut raisonnablement être exigé d'une personne capable de discernement dans des circonstances identiques (cf. ATF 110 V 176 consid. 3d). Tel est le cas si, lors du dépôt de la demande et de l’examen des conditions personnelles ou économiques, certains faits ont été passés sous silence ou que des fausses indications ont été fournies intentionnellement ou par négligence. Il en va de même lorsqu’un changement dans la situation personnelle ou matérielle n’a, intentionnellement ou par négligence grave, pas été annoncé ou l’a été avec retard ou que des rentes ou des allocations pour impotents indues ont été acceptées de manière dolosive ou avec négligence grave (Directives concernant les rentes de l’assurance vieillesse, survivants et invalidité fédérale, DR, ch. 10708).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Il y a ainsi faute grave chaque fois que la nécessité d’annoncer un changement survenu est évidente (RCC 1986 p. 668). On ajoutera que la bonne foi doit être niée quand l'enrichi pouvait, au moment du versement, s'attendre à son obligation de restituer, parce qu'il savait ou devait savoir, en faisant preuve de l'attention requise, que la prestation était indue (art. 3 al. 2 du Code civil suisse du 10 décembre 1907 [CC - RS 210] ; ATF 130 V 414 consid. 4.3 ;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w:t>
      </w:r>
    </w:p>
    <w:p>
      <w:r>
        <w:rPr>
          <w:b/>
        </w:rPr>
        <w:t>E. 16</w:t>
      </w:r>
    </w:p>
    <w:p>
      <w:r>
        <w:t>Le recourant soutient qu’il était de bonne foi et qu’aucune violation de son devoir de renseigner ne saurait être retenue. D’une part, il conteste avoir omis de signaler la cessation de son activité indépendante, motifs pris que le prononcé de la faillite avait été publié, qu’il avait communiqué son bilan au 2 décembre 2008, et qu’il avait clairement mentionné dans les questionnaires de révision de 2009 et 2011 qu’il n’avait plus d’activité professionnelle et n’avait plus réalisé de revenu. D’autre part, il est d’avis qu’il n’avait pas à annoncer le début de son activité salariée, puisque le taux d’activité et le revenu perçu dans ce cadre étaient inférieurs à ceux retenus dans la décision initiale d’octroi de rente.</w:t>
      </w:r>
    </w:p>
    <w:p>
      <w:r>
        <w:t>A/3189/2018 - 20/23 -</w:t>
      </w:r>
    </w:p>
    <w:p>
      <w:r>
        <w:rPr>
          <w:b/>
        </w:rPr>
        <w:t>E. 17</w:t>
      </w:r>
    </w:p>
    <w:p>
      <w:r>
        <w:t>a. La chambre de céans observe que les arguments avancés par le recourant sont en substance identiques à ceux qu’il a fait valoir dans le cadre de la précédente procédure pour s’opposer à la suppression de sa rente avec effet rétroactif. Elle rappellera donc, comme déjà relevé dans son précédent arrêt, que les assurés sont tenus de communiquer les activités exercées, au sens des art. 31 LPGA et 77 RAI, en tout temps. Chaque assuré doit annoncer immédiatement toute modification de la situation susceptible d'entraîner la suppression, une diminution ou une augmentation de la prestation allouée, singulièrement une modification du revenu de l'activité lucrative, de la capacité de travail ou de l'état de santé lorsqu'il est au bénéfice d'une rente d'invalidité. Cette obligation a d'ailleurs été clairement mentionnée dans le projet de décision du 16 septembre 2008 et dans la décision d'octroi de la rente du 20 mai 2009, ainsi qu’à l'occasion de chaque révision de cette prestation, à savoir dans les communications des 14 septembre 2009 et 19 avril 2011. b. Dans son arrêt du 21 octobre 2019, la chambre de céans a conclu que le recourant avait omis d’annoncer à l’intimé son changement de statut et l’abandon de son activité indépendante, éléments déterminants qui justifiaient de procéder à une nouvelle évaluation de son taux d’invalidité en tenant compte d’une capacité de travail pleine et entière dans une activité adaptée. Elle a notamment exposé que le recourant ne pouvait ignorer que le calcul de son taux d'invalidité et des rentes allouées ne correspondaient plus à sa situation actuelle, compte tenu de la faillite de son entreprise en décembre 2008 et du fait qu’il ne pouvait en conséquence plus exercer d'activité indépendante. Il lui incombait d'informer personnellement l’intimé, ce qu’il n’avait pas fait. Il n'avait pas davantage réagi à réception de la décision du 20 mai 2009 qui indiquait clairement qu’elle était basée sur son activité d'indépendant et de chef d'entreprise, de sorte que ladite décision était entrée en force sur des bases qui ne correspondaient plus à sa situation actuelle. Dans le cadre de la première révision de 2009, il n'avait pas non plus mentionné la faillite de son entreprise. S’il avait indiqué qu'il était sans activité lucrative, il convenait de rappeler que la rente qui lui avait été allouée tenait compte de l'activité professionnelle exigible. Or, si l'assuré ne mettait pas à profit l'activité exigible, cela ne changeait rien à son droit. Le recourant avait précisé que son état de santé et sa situation professionnelle n'avaient pas évolué, de sorte que l’intimé était fondé à confirmer le droit à la rente qui avait été fixé à peine deux mois auparavant. Concernant plus précisément la communication du bilan au 2 décembre 2008, la chambre de céans a considéré que, dans un contexte où l'intéressé avait répondu que sa situation n'avait pas changé, ce qui était très plausible au vu des délais concernés, il était compréhensible que l’intimé ne se soit pas posé davantage de questions. Lors de la révision de 2011, les indications du recourant ne différaient guère de celles données en 2009. Il avait persisté à répondre par rapport au statut d'indépendant qu'il n'avait plus, et qu’il n’avait pas annoncé à l’intimé. Or, il aurait été plus simple et conforme à la réalité</w:t>
      </w:r>
    </w:p>
    <w:p>
      <w:r>
        <w:t>A/3189/2018 - 21/23 - qu'il précise, conformément à son devoir, qu'il n'était plus indépendant, ce qui aurait alerté l’intimé qui n'aurait pas manqué d'instruire la situation actuelle de l’intéressé. Dès lors que la situation, telle que présentée par le recourant, apparaissait globalement comme inchangée par rapport à 2009, tant au niveau de sa situation professionnelle que du point de vue de son état de santé, on pouvait comprendre que l’intimé n’ait pas été plus loin et se soit borné à confirmer le maintien du droit à la rente. Ainsi, au vu des principes régissant l'obligation de renseigner, selon lesquels la personne concernée doit remplir son obligation personnellement, et l'annonce doit intervenir spontanément et non sur demande de l'assureur, il ne pouvait être retenu, contrairement à ce que soutenait le recourant, que l’intimé était réputé connaître l'existence de sa faillite depuis la publication officielle. Il incombait bien au contraire à l’intéressé de signaler immédiatement ce fait important à l’intimé, soit au moment du prononcé, ce qu'il s’était bien gardé de faire. Par la suite, lors des procédures de révision de 2009 et 2011, il avait entretenu un qui pro quo basé sur l'affirmation que sa situation n'aurait pas changé depuis la précédente décision ou révision. c. De même, la chambre de céans a considéré que le raisonnement du recourant, qui soutenait qu'il n'était pas tenu d'informer l’intimé au vu des faibles revenus qu'il réalisait en tant que salarié car il estimait que sa nouvelle situation n’était pas susceptible d'avoir une incidence sur son droit à la rente, ne saurait être suivi. Elle a précisé à ce propos qu’il n’appartenait pas à l'assuré de choisir d'annoncer ou non ses changements de situation, et en particulier ceux touchant son statut professionnel, la prise ou la cessation d'un emploi, au simple motif que selon lui une telle annonce ne pourrait pas avoir des répercussions sur le droit aux prestations. Le système légal exigeait en effet de l’assuré qu’il annonce spontanément tout changement important, et non pas qu’il soit seulement interrogé à ce sujet par l'assureur social concerné. Il appartenait aux autorités chargées de la mise en œuvre des assurances sociales, et non à l'assuré de déterminer selon son appréciation subjective s'il devait ou non annoncer un fait, de déterminer, au vu du changement annoncé, si celui-ci était de nature à avoir des répercussions sur le droit aux prestations, ce qui était bien le cas en l'espèce, contrairement à l'interprétation subjective que le recourant invoquait. En outre, la chambre de céans a également relevé, dans son arrêt du</w:t>
      </w:r>
    </w:p>
    <w:p>
      <w:r>
        <w:rPr>
          <w:b/>
        </w:rPr>
        <w:t>E. 21</w:t>
      </w:r>
    </w:p>
    <w:p>
      <w:r>
        <w:t>Par conséquent, la décision de restitution du 8 août 2018 sera confirmée et la demande de remise rejetée.</w:t>
      </w:r>
    </w:p>
    <w:p>
      <w:r>
        <w:rPr>
          <w:b/>
        </w:rPr>
        <w:t>E. 22</w:t>
      </w:r>
    </w:p>
    <w:p>
      <w:r>
        <w:t>Étant donné que la procédure n'est pas gratuite (art. 69 al. 1bis LAI), il y a lieu de condamner le recourant au paiement d'un émolument de CHF 200.-.</w:t>
      </w:r>
    </w:p>
    <w:p>
      <w:r>
        <w:t>A/3189/2018 - 23/23 -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