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ATAS/73/2020 vom 3. Februar 2020</w:t>
      </w:r>
    </w:p>
    <w:p>
      <w:r>
        <w:t>GE Cour de justice, 2020-02-03, FR</w:t>
      </w:r>
    </w:p>
    <w:p>
      <w:r>
        <w:rPr>
          <w:b/>
        </w:rPr>
        <w:t xml:space="preserve">Quelle: </w:t>
      </w:r>
      <w:r>
        <w:t>https://mcp.opencaselaw.ch/entscheid/ge_gerichte_ATAS_73_2020</w:t>
      </w:r>
    </w:p>
    <w:p>
      <w:r>
        <w:t>FR: GE_GERICHTE ATAS/73/2020 du 3 février 2020</w:t>
      </w:r>
    </w:p>
    <w:p>
      <w:r>
        <w:t>IT: GE_GERICHTE ATAS/73/2020 del 3 febbraio 2020</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t>A/2626/2018 7/9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w:t>
      </w:r>
    </w:p>
    <w:p>
      <w:r>
        <w:rPr>
          <w:b/>
        </w:rPr>
        <w:t>E. 5</w:t>
      </w:r>
    </w:p>
    <w:p>
      <w:r>
        <w:t>Les versements uniques (rachats), y compris les intérêts, issus de biens propres au sens de l’art. 198 CC ne seront pas soumis au partage (art. 123 al. 2 et 3 CC ; 22a al. 2 LFLP ; Message du Conseil fédéral du 29 mai 2013, FF 2013 434, p. 4360). Par conséquent, les intérêts dus au demandeur sur la somme de CHF 527'003.- (rachat) existant au 14 décembre 2009 se montent à CHF 10'725.38 (537'728.38 – 527'003.-).</w:t>
      </w:r>
    </w:p>
    <w:p>
      <w:r>
        <w:rPr>
          <w:b/>
        </w:rPr>
        <w:t>E. 6</w:t>
      </w:r>
    </w:p>
    <w:p>
      <w:r>
        <w:t>Selon l'art. 7d Tit. fin. CC le traitement de la prévoyance professionnelle en cas de divorce est régi par le nouveau droit dès l’entrée en vigueur de la modification du 19 juin 2015 (al.1). Les procès en divorce pendants devant une instance cantonale sont soumis au nouveau droit dès l’entrée en vigueur de la modification du 19 juin 2015 (al.2). Lorsque la décision attaquée a été prononcée avant l’entrée en vigueur de la modification du 19 juin 2015, le Tribunal fédéral applique l’ancien droit; il en va de même en cas de renvoi à l’autorité cantonale. En l’espèce, le juge de première instance a ordonné le partage par moitié des prestations de sortie acquises durant le mariage par les demandeurs. Les dates pertinentes sont, d’une part, celle du mariage, le 31 juillet 1993, d’autre part le 20 décembre 2010, date à laquelle la demande en divorce a été déposée. La demanderesse, dans ses dernières observations (23 novembre 2019), a repris l'argumentation développée par elle devant la chambre civile de la Cour de justice et devant le Tribunal fédéral, selon laquelle elle estimait qu'en application de l'art. 7d Tit. fin. CC, le divorce ayant été prononcé par le Tribunal de première instance avant l'entrée en vigueur du nouveau droit au 1er janvier 2017 c'était l'ancien droit qui devait s'appliquer. Or, la chambre civile a retenu (ACJC/1079/2017 du 31 août 2017 consid. 7.2.1) qu'en l'espèce la procédure était pendante devant la Cour le 1er janvier 2017, de sorte que le partage de la prévoyance professionnelle des parties est régi par le nouveau droit depuis cette date. Eu égard au texte clair de cette disposition (art. 7d Tit. fin. CC) et contrairement à ce que plaide l'appelante, la durée de la présente procédure, soit plus de 6 ans, ne constitue pas un critère pour déterminer le droit applicable, au sujet duquel les parties se sont exprimées en appel. Pour sa part, le Tribunal fédéral a retenu qu'à teneur de l'art. 7d al. 2 Tit.fin.CC relatif au traitement de la prévoyance professionnelle en cas de divorce, les procès en divorce pendants devant une instance cantonale sont soumis au nouveau droit dès l'entrée en vigueur de la modification du 19 juin 2015. L'arrêt entrepris ayant été rendu le 31 août 2017, soit après l'entrée en vigueur, le 1er janvier 2017, de la novelle du 19 juin 2015 portant notamment modification des</w:t>
      </w:r>
    </w:p>
    <w:p>
      <w:r>
        <w:t>A/2626/2018 8/9 art. 122 ss CC (RO 2016 2313 ; FF 2015 4437), c'est à juste titre que la Cour de justice a examiné la situation à l'aune des nouvelles dispositions légales. Le texte clair de l'art. 7d Tit. fin. CC ne souffre pas d'interprétation. Seul est déterminant le fait que la décision par laquelle le juge a ordonné le partage des prestations de sortie a été pris après le 1er janvier 2017 (dans ce sens, Roland Fankhauser, Ein dritter Stichtag zwischen altem und neuem Vorsorgeausgleich?, FamPra.ch 2017, p. 157- 162). Il en résulte que les motifs pour lesquels la procédure a perduré au-delà de l'entrée en vigueur du nouveau droit ne sont pas des circonstances pertinentes pour l'application du droit transitoire. Dès lors, c'est à bon droit qu'en vertu du nouvel art. 122 CC, la juridiction précédente a ordonné le partage par moitié des avoirs de prévoyance professionnelle accumulés entre la date du mariage et celle de l'introduction de la procédure de divorce (art. 122 et 123 al. CC), la recourante ne soutenant pas, au surplus, que l'une des exceptions prévues par la loi serait réalisée en l'espèce (Arrêt du TF 5A_819/2017 du 20 mars 2018 consid. 10.2. et en particulier 10.2.2). Ainsi, la question du droit applicable a été définitivement tranchée par le Tribunal fédéral, la chambre de céans n'étant au demeurant chargée que de l'exécution des dispositions prises par le juge du divorce, n'est pas compétente pour revoir ce que le juge du divorce a décidé (voir notamment consid. 2 et 3 ci-dessus). Il en va de même des versements uniques (rachats), y compris les intérêts, issus de biens propres au sens de l'art. 198 CC, lesquels ne seront pas non plus soumis au partage [art. 123 al. 2 et 3 CC ; 22a al. 2 LFLP ; Message du Conseil fédéral du 29 mai 2013, FF 2013 434, p. 4360], cette question ayant été expressément réglée par la chambre civile de la Cour de justice (arrêt cité consid. 7.1), le Tribunal fédéral ayant au demeurant retenu dans son arrêt que la demanderesse ne remettait pas en cause le contenu de l'argumentation de la cour cantonale relative à la prise en considération desdits rachats Arrêt du TF cité ad consid. 10.3 in fine).</w:t>
      </w:r>
    </w:p>
    <w:p>
      <w:r>
        <w:rPr>
          <w:b/>
        </w:rPr>
        <w:t>E. 7</w:t>
      </w:r>
    </w:p>
    <w:p>
      <w:r>
        <w:t>Selon les documents produits, la prestation acquise pendant le mariage par le demandeur est de CHF 397'547.42 (935'275.80 – 537'728.38) les intérêts ayant déjà été calculés par les institutions de prévoyance défenderesses. Ainsi le demandeur doit à son ex-épouse le montant de CHF 198'773.71 (CHF 397'547.42 : 2).</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dès le 20 décembre 2010 jusqu'au moment du transfert.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 (LPA-GE - E 5 10). ***</w:t>
      </w:r>
    </w:p>
    <w:p>
      <w:r>
        <w:t>A/2626/2018 9/9</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