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ATAS/739/2021 vom 5. Juli 2021</w:t>
      </w:r>
    </w:p>
    <w:p>
      <w:r>
        <w:t>GE Cour de justice, 2021-07-05, FR</w:t>
      </w:r>
    </w:p>
    <w:p>
      <w:r>
        <w:rPr>
          <w:b/>
        </w:rPr>
        <w:t xml:space="preserve">Quelle: </w:t>
      </w:r>
      <w:r>
        <w:t>https://mcp.opencaselaw.ch/entscheid/ge_gerichte_ATAS_739_2021</w:t>
      </w:r>
    </w:p>
    <w:p>
      <w:r>
        <w:t>FR: GE_GERICHTE ATAS/739/2021 du 5 juillet 2021</w:t>
      </w:r>
    </w:p>
    <w:p>
      <w:r>
        <w:t>IT: GE_GERICHTE ATAS/739/2021 del 5 luglio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t>A/2168/2020 - 14/25 -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En l’occurrence, la recourante sollicite l’octroi de mesures d’ordre professionnel, et plus particulièrement une formation afin de pouvoir exercer un travail de bureau (cf. acte de recours du 16 juillet 2020 et correspondance du 7 décembre 2020), sans contester expressément la décision en tant qu’elle lui refuse le droit à une rente. Cela étant, il est rappelé que la recourante, laquelle n’est pas représentée par un mandataire, reproche à l’intimé de ne pas avoir pris en considération l’ensemble de ses atteintes, de sorte qu’elle conteste, à tout le moins implicitement, les conclusions du SMR s’agissant des atteintes à la santé ayant des effets sur sa capacité de travail et les limitations fonctionnelles retenues. c. Dans ces conditions, le litige porte sur l’évaluation du degré d’invalidité de la recourante et son droit à des prestations de la part de l’intimé.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A/2168/2020 - 15/25 -</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A/2168/2020 - 16/25 -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A/2168/2020 - 17/25 -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11</w:t>
      </w:r>
    </w:p>
    <w:p>
      <w:r>
        <w:t>a. En l’espèce, la chambre de céans rappellera que l’intimé a rendu un premier projet de décision le 11 août 2014, conformément aux conclusions du SMR du 27 mai 2014, basées sur le rapport d’expertise du 17 avril 2014. Suite à l’allégation d’une aggravation de l’état de santé postérieure à l’expertise, l’intimé a procédé à des investigations complémentaires, suite auxquelles le SMR a rendu une appréciation le 15 avril 2015, aux termes de laquelle les conclusions de l’expertise rhumatologique demeuraient valables. L’intimé a alors adressé à la recourante un nouveau projet de décision le 24 janvier 2020, maintenant que la capacité de travail de la recourante était de 80% dans l’activité habituelle dès le</w:t>
      </w:r>
    </w:p>
    <w:p>
      <w:r>
        <w:rPr>
          <w:b/>
        </w:rPr>
        <w:t>E. 15</w:t>
      </w:r>
    </w:p>
    <w:p>
      <w:r>
        <w:t>Reste à examiner le droit de la recourante à des mesures d’ordre professionnel.</w:t>
      </w:r>
    </w:p>
    <w:p>
      <w:r>
        <w:rPr>
          <w:b/>
        </w:rPr>
        <w:t>E. 16</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w:t>
      </w:r>
    </w:p>
    <w:p>
      <w:r>
        <w:t>A/2168/2020 - 22/25 -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(arrêt du Tribunal fédéral 9C_464/2009 du 31 mai 2010).</w:t>
      </w:r>
    </w:p>
    <w:p>
      <w:r>
        <w:rPr>
          <w:b/>
        </w:rPr>
        <w:t>E. 17</w:t>
      </w:r>
    </w:p>
    <w:p>
      <w:r>
        <w:t>a.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w:t>
      </w:r>
    </w:p>
    <w:p>
      <w:r>
        <w:t>A/2168/2020 - 23/25 -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18</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 même est un aspect de l’obligation de diminuer le dommage et prime aussi bien le droit à une rente qu’à des mesures de réadaptation (art. 21 al. 4 LPGA).</w:t>
      </w:r>
    </w:p>
    <w:p>
      <w:r>
        <w:rPr>
          <w:b/>
        </w:rPr>
        <w:t>E. 19</w:t>
      </w:r>
    </w:p>
    <w:p>
      <w:r>
        <w:t>En l’occurrence, la recourante dispose d’une capacité de travail résiduelle entière dans une activité adaptée, ce qui laisse supposer, en l'absence d'indices contraires, qu’elle devrait être à même de trouver par ses propres moyens - ou le cas échéant avec l'aide des organes de l'assurance-chômage - un emploi adapté à son état de santé (VSI 2000 p. 70 sv. consid. 2). De plus, au vu du large éventail d'activités existantes, sans qu'il soit nécessaire de disposer d'une formation préalable et qui sont compatibles avec les limitations fonctionnelles observées, des mesures d’ordre professionnel n’apparaissent pas nécessaires. On rappellera en particulier que l’intéressée ne peut pas prétendre à une formation de niveau supérieur à celui de son ancienne activité d’aide-soignante non qualifiée. À cela s’ajoute que la recourante a entrepris de son propre chef, avant la survenance de l’invalidité déjà, des démarches en vue de se former en Suisse. Elle a ainsi suivi des cours à la Faculté de droit de l’Université de Genève, interrompus en raison d’un niveau de français insuffisant. Elle s'est ensuite inscrite à des cours d’été de</w:t>
      </w:r>
    </w:p>
    <w:p>
      <w:r>
        <w:t>A/2168/2020 - 24/25 - français à la Faculté des lettres en 2016, puis à un cours de rédaction professionnelle à l’Université ouvrière de Genève en 2018. Or, le but de la réadaptation n’est pas de permettre aux assurés de leur financer la meilleure formation possible, mais de leur offrir une possibilité de gain plus ou moins équivalente à celle dont ils disposaient sans invalidité. Enfin, il est rappelé que le service de réadaptation de l’intimé a demandé à la recourante, au mois d’août 2015, de préparer un projet professionnel puisque celle- ci avait fait part de son souhait d’œuvrer en qualité d’interprète-traductrice dans le domaine juridique. Bien que la recourante se soit rendue compte de la difficulté à réaliser un tel projet en raison d’un niveau de français insuffisant, elle n’a pas changé ou adapté ses objectifs. Lors de son dernier rendez-vous, au mois d’octobre 2018, elle a indiqué suivre des cours de rédaction professionnelle et s’est engagée à examiner la faisabilité de son projet. L’intéressée ne démontre ni n’allègue avoir entrepris la moindre démarche en ce sens, et ne fait pas mention d’un projet professionnel concret.</w:t>
      </w:r>
    </w:p>
    <w:p>
      <w:r>
        <w:rPr>
          <w:b/>
        </w:rPr>
        <w:t>E. 20</w:t>
      </w:r>
    </w:p>
    <w:p>
      <w:r>
        <w:t>Partant, des mesures d’ordre professionnel n’apparaissent effectivement ni nécessaires ni de nature à rétablir, maintenir ou améliorer la capacité de gain de l’intéressée. Dès lors, la chambre de céans ne peut que confirmer la décision querellée sur ce point également.</w:t>
      </w:r>
    </w:p>
    <w:p>
      <w:r>
        <w:rPr>
          <w:b/>
        </w:rPr>
        <w:t>E. 21</w:t>
      </w:r>
    </w:p>
    <w:p>
      <w:r>
        <w:t>Au vu de ce qui précède, le recours sera rejeté et la recourante condamnée au paiement d'un émolument de CHF 200.- (art. 69 al. 1bis LAI).</w:t>
      </w:r>
    </w:p>
    <w:p>
      <w:r>
        <w:t>A/2168/2020 - 25/25 -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