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ATAS/739/2015 vom 22. April 2015</w:t>
      </w:r>
    </w:p>
    <w:p>
      <w:r>
        <w:t>GE Cour de justice, 2015-04-22, FR</w:t>
      </w:r>
    </w:p>
    <w:p>
      <w:r>
        <w:rPr>
          <w:b/>
        </w:rPr>
        <w:t xml:space="preserve">Quelle: </w:t>
      </w:r>
      <w:r>
        <w:t>https://mcp.opencaselaw.ch/entscheid/ge_gerichte_ATAS_739_2015</w:t>
      </w:r>
    </w:p>
    <w:p>
      <w:r>
        <w:t>FR: GE_GERICHTE ATAS/739/2015 du 22 avril 2015</w:t>
      </w:r>
    </w:p>
    <w:p>
      <w:r>
        <w:t>IT: GE_GERICHTE ATAS/739/2015 del 22 aprile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w:t>
      </w:r>
    </w:p>
    <w:p>
      <w:r>
        <w:t>A/1513/2015 - 3/4 -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L’intimé concluant à l’irrecevabilité du recours, arguant que la recourante n’est pas valablement représentée par un mandataire professionnellement qualifié, il convient de statuer sur cette question.</w:t>
      </w:r>
    </w:p>
    <w:p>
      <w:r>
        <w:rPr>
          <w:b/>
        </w:rPr>
        <w:t>E. 3</w:t>
      </w:r>
    </w:p>
    <w:p>
      <w:r>
        <w:t>L’art. 9 al. 1 de la loi sur la procédure administrative, du 12 septembre 1985 (LPA ; RS E 5 10), prévoit que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Dans le cadre d’un litige portant sur l’existence ou non d’une atteinte à la santé à caractère invalidant, la jurisprudence constante de la chambre céans admet le médecin traitant comme mandataire professionnellement qualifié au sens de l’art. 9 al. 1 LPA (cf. ATAS/159/2015; ATAS 594/2014; ATAS/758/2011). Cela étant, le Dr B______ peut valablement représenter la recourante dans la présente procédure.</w:t>
      </w:r>
    </w:p>
    <w:p>
      <w:r>
        <w:rPr>
          <w:b/>
        </w:rPr>
        <w:t>E. 4</w:t>
      </w:r>
    </w:p>
    <w:p>
      <w:r>
        <w:t>Même si la recourante n’a pas fait parvenir à la chambre de céans la procuration dans le délai imparti, il convient néanmoins de considérer que l’envoi de cette procuration après ce délai a réparé le vice, dès lors la personne représentée peut ratifier un acte du représentant en vertu de l’art. 38 al. 1 CO. Le droit de ratifier n’est soumis à aucun délai (ATF 101 II 222 = JT 1976 I 141).</w:t>
      </w:r>
    </w:p>
    <w:p>
      <w:r>
        <w:rPr>
          <w:b/>
        </w:rPr>
        <w:t>E. 5</w:t>
      </w:r>
    </w:p>
    <w:p>
      <w:r>
        <w:t>Pour le surplus, le recours interjeté par le Dr B______ respecte les délai et forme prescrits par la loi (art. 56ss LPGA), de sorte que le recours doit être déclaré recevable.</w:t>
      </w:r>
    </w:p>
    <w:p>
      <w:r>
        <w:t>A/1513/2015 - 4/4 -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