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ATAS/739/2012 vom 31. Mai 2012</w:t>
      </w:r>
    </w:p>
    <w:p>
      <w:r>
        <w:t>GE Cour de justice, 2012-05-31, FR</w:t>
      </w:r>
    </w:p>
    <w:p>
      <w:r>
        <w:rPr>
          <w:b/>
        </w:rPr>
        <w:t xml:space="preserve">Quelle: </w:t>
      </w:r>
      <w:r>
        <w:t>https://mcp.opencaselaw.ch/entscheid/ge_gerichte_ATAS_739_2012</w:t>
      </w:r>
    </w:p>
    <w:p>
      <w:r>
        <w:t>FR: GE_GERICHTE ATAS/739/2012 du 31 mai 2012</w:t>
      </w:r>
    </w:p>
    <w:p>
      <w:r>
        <w:t>IT: GE_GERICHTE ATAS/739/2012 del 31 maggio 2012</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w:t>
      </w:r>
    </w:p>
    <w:p>
      <w:r>
        <w:t>A/57/2012 4/6 le juge du lieu du divorce compétent au sens de l'art. 73 al. 1 de la loi fédérale sur la prévoyance professionnelle du 25 juin 1982 (LPP),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 tion de sortie, augmentée des avoirs de libre passage existant éventuellement au moment de la conclusion du mariage (cf. art. 24 LFLP). Pour ce calcul, on ajoute à la prestation de sortie et à l'avoir de libre passage existant au moment de la conclu- sion du mariage les intérêts courus jusqu'au moment du divorce (ATF 128 V 230; ATF 129 V 444). S'agissant de ces intérêts, il convient de se référer aux art. 8a de l'ordonnance fédérale sur le libre passage dans la prévoyance professionnelle, vieil- lesse, survivants et invalidité (OLP) et 12 de l'ordonnance fédérale sur la prévoyance professionnelle, vieillesse, survivants et invalidité du 18 avril 1984 sur la pré- 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 vier 2008.</w:t>
      </w:r>
    </w:p>
    <w:p>
      <w:r>
        <w:rPr>
          <w:b/>
        </w:rPr>
        <w:t>E. 3</w:t>
      </w:r>
    </w:p>
    <w:p>
      <w:r>
        <w:t>En l’espèce, le juge de première instance a ordonné le partage par moitié des presta- tions de sortie acquises durant le mariage par les demandeurs. Les dates pertinentes sont, d’une part, celle du mariage, le 25 août 1982, d’autre part le 17 décembre 2011, date à laquelle le jugement de divorce est devenu exécutoire.</w:t>
      </w:r>
    </w:p>
    <w:p>
      <w:r>
        <w:rPr>
          <w:b/>
        </w:rPr>
        <w:t>E. 4</w:t>
      </w:r>
    </w:p>
    <w:p>
      <w:r>
        <w:t>Selon les renseignements recueillis, la prestation acquise pendant le mariage par le demandeur s'élève à 124'738 fr. tandis que celle acquise par la demanderesse atteint la somme de 5'354 fr. 45, les intérêts ayant déjà été calculés par les institutions de prévoyance défenderesses. Ainsi le demandeur doit à son ex-épouse le montant de 62'369 fr. (124’738 : 2) alors qu'elle lui doit celui de 2'677 fr. 25 (5'354 fr. 45 :2), de sorte que c’est en définitive le demandeur qui doit à son ex-épouse le montant de 59'691 fr. 75 (62'369 - 2'677.25).</w:t>
      </w:r>
    </w:p>
    <w:p>
      <w:r>
        <w:rPr>
          <w:b/>
        </w:rPr>
        <w:t>E. 5</w:t>
      </w:r>
    </w:p>
    <w:p>
      <w:r>
        <w:t>Cependant, la demanderesse étant en incapacité de travail, la question se pose de savoir si le partage ordonné peut être exécuté.</w:t>
      </w:r>
    </w:p>
    <w:p>
      <w:r>
        <w:rPr>
          <w:b/>
        </w:rPr>
        <w:t>E. 6</w:t>
      </w:r>
    </w:p>
    <w:p>
      <w:r>
        <w:t>Le partage des prestations de sortie est une institution ressortissant au droit du di- vorce (GEISER, zur Frage des Massgeblichen Zeitpunkts beim Vorsorgeausgleich,</w:t>
      </w:r>
    </w:p>
    <w:p>
      <w:r>
        <w:t>A/57/2012 5/6 FamPRa 2004, p. 305). Dès lors, le moment déterminant pour son exécution est ce- lui de l'entrée en force du jugement de divorce - ou tout au moins des points permet- tant son exécution. Si un cas de prévoyance survient avant cette date, l'application de l'art. 122 CC est exclue au profit de l'art. 124 CC. Inversement, si un cas de pré- voyance survient après cette date, la question demeure régie par le seul art. 122 CC (cf. GEISER, op. cit., p. 307-308). Pour le même motif, la survenance d'un cas de prévoyance alors que la procédure est pendante auprès du juge des assurances, reste sans influence sur l'application de l'art. 122 CC, qui continue à s'appliquer. Selon le TF, est seule décisive la naissance d’un droit concret à des prestations de la prévoyance professionnelle, qui rend impossible le partage des avoirs de pré- voyance à la base des prestations servies. En effet, aux termes de l'art. 2 al. 1 LFLP, si l'assuré quitte l'institution de prévoyance avant la survenance d'un cas de pré- voyance, il a droit à une prestation de sortie. La survenance du cas de prévoyance est donc le critère décisif pour juger de l'existence du droit à une prestation de sortie de l'assuré à l'égard de sa caisse. Les art. 122 al. 1 et 124 al. 1 CC reprennent ce cri- tère. Ainsi, tant qu'aucun cas de prévoyance n'est survenu, le droit à la prestation de sortie existe; dès qu'il s'est produit, il n'y a plus de droit à une prestation de sortie, de sorte que le partage n’est techniquement plus possible. En ce cas, seule une in- demnité équitable peut alors être fixée par le juge civil. En l’espèce, la demanderesse est certes en incapacité de travail depuis septembre 2011 mais elle ne bénéficie ni d’une rente de l'assurance-invalidité, ni d’une rente d'invalidité de la prévoyance professionnelle, de sorte que le partage des avoirs de prévoyance reste possible.</w:t>
      </w:r>
    </w:p>
    <w:p>
      <w:r>
        <w:rPr>
          <w:b/>
        </w:rPr>
        <w:t>E. 7</w:t>
      </w:r>
    </w:p>
    <w:p>
      <w:r>
        <w:t>Conformément à la jurisprudence, depuis le jour déterminant pour le partage jus- qu'au moment du transfert de la prestation de sortie ou de la demeure, le conjoint di- 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w:t>
      </w:r>
    </w:p>
    <w:p>
      <w:r>
        <w:t>***</w:t>
      </w:r>
    </w:p>
    <w:p>
      <w:r>
        <w:t>A/57/2012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