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ATAS/739/2009 vom 27. Mai 2008</w:t>
      </w:r>
    </w:p>
    <w:p>
      <w:r>
        <w:t>GE Cour de justice, 2008-05-27, FR</w:t>
      </w:r>
    </w:p>
    <w:p>
      <w:r>
        <w:rPr>
          <w:b/>
        </w:rPr>
        <w:t xml:space="preserve">Quelle: </w:t>
      </w:r>
      <w:r>
        <w:t>https://mcp.opencaselaw.ch/entscheid/ge_gerichte_ATAS_739_2009</w:t>
      </w:r>
    </w:p>
    <w:p>
      <w:r>
        <w:t>FR: GE_GERICHTE ATAS/739/2009 du 27 mai 2008</w:t>
      </w:r>
    </w:p>
    <w:p>
      <w:r>
        <w:t>IT: GE_GERICHTE ATAS/739/2009 del 27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 février 2001, d’autre part le 5 septembre 2008, date à laquelle le jugement de divorce est devenu exécutoire.</w:t>
      </w:r>
    </w:p>
    <w:p>
      <w:r>
        <w:t>A/3403/2008 - 4/5 -</w:t>
      </w:r>
    </w:p>
    <w:p>
      <w:r>
        <w:rPr>
          <w:b/>
        </w:rPr>
        <w:t>E. 4</w:t>
      </w:r>
    </w:p>
    <w:p>
      <w:r>
        <w:t>Selon les documents produits, la prestation acquise pendant le mariage par le demandeur est de 27'224 fr. 55 tandis que celle acquise par la demanderesse est de 16'342 fr. 85, les intérêts ayant déjà été calculés par les institutions de prévoyance défenderesses. Ainsi le demandeur doit à son ex-épouse le montant de 13'612 fr. 30 (27'224 fr. 55 : 2) et celle-ci doit à celui-là le montant de 8'171 fr. 40 (16'342 fr. 85 : 2), de sorte que c’est le demandeur qui doit à la demanderesse le montant de 5'440 fr. 90 Cette somme sera versée sur le compte actuel de libre passage de la demanderesse. Il sera prélevé, à hauteur de 3'730 fr. 95, sur le compte que le demandeur a auprès de la FONDATION INSTITUTION SUPPLÉTIVE LPP, ZURICH, conformément à sa demande, et pour le surplus (soit 1'709 fr. 95) auprès de son compte actuel de prévoyance.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A/3403/2008 - 5/5 -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