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ATAS/738/2014 vom 17. Juni 2014</w:t>
      </w:r>
    </w:p>
    <w:p>
      <w:r>
        <w:t>GE Cour de justice, 2014-06-17, FR</w:t>
      </w:r>
    </w:p>
    <w:p>
      <w:r>
        <w:rPr>
          <w:b/>
        </w:rPr>
        <w:t xml:space="preserve">Quelle: </w:t>
      </w:r>
      <w:r>
        <w:t>https://mcp.opencaselaw.ch/entscheid/ge_gerichte_ATAS_738_2014</w:t>
      </w:r>
    </w:p>
    <w:p>
      <w:r>
        <w:t>FR: GE_GERICHTE ATAS/738/2014 du 17 juin 2014</w:t>
      </w:r>
    </w:p>
    <w:p>
      <w:r>
        <w:t>IT: GE_GERICHTE ATAS/738/2014 del 17 giugno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w:t>
      </w:r>
    </w:p>
    <w:p>
      <w:r>
        <w:rPr>
          <w:b/>
        </w:rPr>
        <w:t>E. 3</w:t>
      </w:r>
    </w:p>
    <w:p>
      <w:r>
        <w:t>Déposé dans la forme et le délai prescrits, le recours est recevable (art. 9 LPCF, art. 38 al. 4, 56 al. 1 et 61 al. 1 LPGA; art. 43 LPCC).</w:t>
      </w:r>
    </w:p>
    <w:p>
      <w:r>
        <w:rPr>
          <w:b/>
        </w:rPr>
        <w:t>E. 4</w:t>
      </w:r>
    </w:p>
    <w:p>
      <w:r>
        <w:t>Le litige se limite au refus du SPC d’accorder à l’assurée la remise de l’obligation de rembourser la somme de CHF 33'387.-. La décision quant au principe et au montant de la restitution est entrée en force.</w:t>
      </w:r>
    </w:p>
    <w:p>
      <w:r>
        <w:rPr>
          <w:b/>
        </w:rPr>
        <w:t>E. 5</w:t>
      </w:r>
    </w:p>
    <w:p>
      <w:r>
        <w:t>La Confédération et les cantons accordent aux personnes qui remplissent les conditions fixées aux art. 4 à 6 des prestations complémentaires destinées à la couverture des besoins vitaux (art. 2 al. 1 LPC). Les cantons peuvent allouer des prestations allant au-delà de celles qui sont prévues par la présente loi et fixer les</w:t>
      </w:r>
    </w:p>
    <w:p>
      <w:r>
        <w:t>A/1045/2014 - 4/7 - conditions d’octroi de ces prestations (art. 2 al. 2 LPC). La loi sur les prestations complémentaires cantonales du 25 octobre 1968 (LPCC; RS J 4 25) définit les prestations cantonales.</w:t>
      </w:r>
    </w:p>
    <w:p>
      <w:r>
        <w:rPr>
          <w:b/>
        </w:rPr>
        <w:t>E. 6</w:t>
      </w:r>
    </w:p>
    <w:p>
      <w:r>
        <w:t>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w:t>
      </w:r>
    </w:p>
    <w:p>
      <w:r>
        <w:rPr>
          <w:b/>
        </w:rPr>
        <w:t>E. 7</w:t>
      </w:r>
    </w:p>
    <w:p>
      <w:r>
        <w:t>L'art. 24 al. 1, 2e phrase LPCC énonce les mêmes principes que l'art. 25 LPGA.</w:t>
      </w:r>
    </w:p>
    <w:p>
      <w:r>
        <w:rPr>
          <w:b/>
        </w:rPr>
        <w:t>E. 8</w:t>
      </w:r>
    </w:p>
    <w:p>
      <w:r>
        <w:t>La bonne foi doit faire l’objet d’un examen minutieux dans chaque cas particulier. 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 Arrêt du Tribunal Fédéral du 16 août 2011 dans la cause 9C_41/2011). La bonne foi, en tant que condition de la remise, est exclue d'emblée lorsque les faits qui conduisent à l'obligation de restituer (violation du devoir d'annoncer ou de renseigner) sont imputables à un comportement dolosif ou à une négligence grave. Selon la jurisprudence (arrêt P 42/92 consid. 5b, cité par ULRICH MEYER, Die Rückerstattung von Sozialversicherungsleistungen, RSJB 131/1995 p. 483), on peut attendre d'un assuré qu'il décèle des erreurs manifestes et qu'il en fasse l'annonce à la caisse (arrêt 9C_189/2012 du 21 août 2012 consid. 4). En revanche, l'assuré peut invoquer sa bonne foi lorsque l'acte ou l'omission fautifs ne constituent qu'une violation légère de l'obligation d'annoncer ou de renseigner (ATF 112 V 97 consid. 2c p. 103 et les références; arrêt 9C_474/2009 du 21 août 2009 consid. 2). La jurisprudence distingue entre la bonne foi en tant que manque de conscience, de la part de l'intéressé, d'agir contrairement au droit et la question de savoir s'il peut invoquer la bonne foi dans les circonstances données ou s'il aurait dû, en faisant</w:t>
      </w:r>
    </w:p>
    <w:p>
      <w:r>
        <w:t>A/1045/2014 - 5/7 - preuve de l'attention que l'on pouvait exiger de lui, reconnaître l'irrégularité juridique qui s'est produite. Alors que la présence ou le défaut de conscience d'agir contrairement au droit relève d'une question de fait, qui ne peut être examinée par le Tribunal fédéral que sous l'angle de l'art. 105 al. 2 LTF (consid. 2 supra), l'examen de l'attention exigible constitue une question de droit qui peut être revue librement, dans la mesure où il s'agit d'examiner si l'intéressé peut invoquer sa bonne foi au vu des circonstances de fait données (arrêt 9C_674/2012 du 15 janvier 2013 consid. 3.3, citant l'arrêt 8C_1/2007 du 11 mai 2007, in SVR 2007 EL n° 8 p. 19; ATF 122 V 221 consid. 3 p. 223).</w:t>
      </w:r>
    </w:p>
    <w:p>
      <w:r>
        <w:rPr>
          <w:b/>
        </w:rPr>
        <w:t>E. 9</w:t>
      </w:r>
    </w:p>
    <w:p>
      <w:r>
        <w:t>Les directives concernant les prestations complémentaires à l'AVS et à l'AI (DPC ; état au 1er janvier 2013) relèvent que si une prestation complémentaire est versée à tort et que l’assuré ne pouvait s’en rendre compte en faisant preuve de l’attention minimale exigible au vu des circonstances et du cas d’espèce, force est d’admettre la bonne foi. A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w:t>
      </w:r>
    </w:p>
    <w:p>
      <w:r>
        <w:t>A/1045/2014 - 6/7 - sociales, un principe selon lequel l’administration ou le juge devrait statuer, dans le doute, en faveur de l’assuré (ATF 126 V 322 consid. 5a).</w:t>
      </w:r>
    </w:p>
    <w:p>
      <w:r>
        <w:rPr>
          <w:b/>
        </w:rPr>
        <w:t>E. 11</w:t>
      </w:r>
    </w:p>
    <w:p>
      <w:r>
        <w:t>En l’espèce, le SPC a rejeté la demande déposée par l’assurée visant à la remise de l’obligation de rembourser la somme de 33'387 fr., représentant les prestations versées à tort, au motif que celle-ci ne l’avait pas informé qu'elle recevait une rente de la sécurité sociale française. L’assurée, par l'intermédiaire de son fils, admet avoir reçu les prestations en question" en toute bonne foi". Elle explique avoir dépensé cet argent, qui l'a bien aidée et ne pas être en mesure de rembourser la somme réclamée. Son fils fait état de ses graves problèmes de santé et insiste sur le fait qu'il souhaiterait "qu'elle puisse finir sa vie dans la plus grande des tranquillités".</w:t>
      </w:r>
    </w:p>
    <w:p>
      <w:r>
        <w:rPr>
          <w:b/>
        </w:rPr>
        <w:t>E. 12</w:t>
      </w:r>
    </w:p>
    <w:p>
      <w:r>
        <w:t>Il n’est ainsi pas contesté que l’assurée a failli à son obligation de renseigner. Ce n’est que le 28 mai 2013 que la Résidence dans laquelle elle vit a informé le SPC de l'existence d'une rente étrangère.</w:t>
      </w:r>
    </w:p>
    <w:p>
      <w:r>
        <w:rPr>
          <w:b/>
        </w:rPr>
        <w:t>E. 13</w:t>
      </w:r>
    </w:p>
    <w:p>
      <w:r>
        <w:t>Il convient à ce stade de rappeler qu'il n'appartient pas aux assurés de décider quelles sont les informations pertinentes dont ils doivent informer l'administration. Peu importe qu'en réalité, les faits jouent effectivement un rôle dans le calcul des prestations (ATF 123 V 151).</w:t>
      </w:r>
    </w:p>
    <w:p>
      <w:r>
        <w:rPr>
          <w:b/>
        </w:rPr>
        <w:t>E. 14</w:t>
      </w:r>
    </w:p>
    <w:p>
      <w:r>
        <w:t>Il n’est pas contestable que l’obligation de renseigner a été signalée en bonne et due forme à l'assurée dans le formulaire de demande de prestations puis expressément rappelée à intervalles réguliers. Elle ne pouvait donc ignorer les devoirs qui lui incombaient à ce titre, de sorte qu’une négligence doit lui être reprochée.</w:t>
      </w:r>
    </w:p>
    <w:p>
      <w:r>
        <w:rPr>
          <w:b/>
        </w:rPr>
        <w:t>E. 15</w:t>
      </w:r>
    </w:p>
    <w:p>
      <w:r>
        <w:t>Reste à qualifier la gravité de cette faute. En effet, selon la jurisprudence, la bonne foi d'un assuré peut être reconnue lorsque l'acte ou l'omission fautif ne constitue qu'une violation légère de l'obligation d'annoncer ou de renseigner.</w:t>
      </w:r>
    </w:p>
    <w:p>
      <w:r>
        <w:rPr>
          <w:b/>
        </w:rPr>
        <w:t>E. 16</w:t>
      </w:r>
    </w:p>
    <w:p>
      <w:r>
        <w:t>En l’espèce, il convient donc d’examiner si la nécessité d’annoncer l'existence de la rente étrangère devait ou non apparaître évidente à l'assurée. Tel est le cas, manifestement. L’omission d’informer le SPC relève pour le moins d’une négligence grave.</w:t>
      </w:r>
    </w:p>
    <w:p>
      <w:r>
        <w:rPr>
          <w:b/>
        </w:rPr>
        <w:t>E. 17</w:t>
      </w:r>
    </w:p>
    <w:p>
      <w:r>
        <w:t>Il suit de tout ce qui précède que l’assurée ne peut exciper, dans le cas d’espèce, de sa bonne foi. Partant, il est superfétatoire d’examiner si la condition de la charge trop lourde est réalisée. En conséquence, le recours est rejeté.</w:t>
      </w:r>
    </w:p>
    <w:p>
      <w:r>
        <w:t>A/1045/2014 - 7/7 -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