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ATAS/737/2021 vom 28. Juni 2021</w:t>
      </w:r>
    </w:p>
    <w:p>
      <w:r>
        <w:t>GE Cour de justice, 2021-06-28, FR</w:t>
      </w:r>
    </w:p>
    <w:p>
      <w:r>
        <w:rPr>
          <w:b/>
        </w:rPr>
        <w:t xml:space="preserve">Quelle: </w:t>
      </w:r>
      <w:r>
        <w:t>https://mcp.opencaselaw.ch/entscheid/ge_gerichte_ATAS_737_2021</w:t>
      </w:r>
    </w:p>
    <w:p>
      <w:r>
        <w:t>FR: GE_GERICHTE ATAS/737/2021 du 28 juin 2021</w:t>
      </w:r>
    </w:p>
    <w:p>
      <w:r>
        <w:t>IT: GE_GERICHTE ATAS/737/2021 del 28 giugno 2021</w:t>
      </w:r>
    </w:p>
    <w:p>
      <w:pPr>
        <w:pStyle w:val="Heading2"/>
      </w:pPr>
      <w:r>
        <w:t>Erwägungen</w:t>
      </w:r>
    </w:p>
    <w:p>
      <w:r>
        <w:rPr>
          <w:b/>
        </w:rPr>
        <w:t>E. 1</w:t>
      </w:r>
    </w:p>
    <w:p>
      <w:r>
        <w:t>Au 1er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jugement de divorce ayant été rendu après l'entrée en vigueur, le 1er janvier 2017, des nouvelles dispositions relatives au partage de la prévoyance professionnelle en cas de divorce, la chambre de céans applique les dispositions légales dans leur nouvelle teneur (art. 7d Tit. fin. CC).</w:t>
      </w:r>
    </w:p>
    <w:p>
      <w:r>
        <w:rPr>
          <w:b/>
        </w:rPr>
        <w:t>E. 2</w:t>
      </w:r>
    </w:p>
    <w:p>
      <w:r>
        <w:t>L'art. 25a LFLP règle la procédure en cas de divorce. Lorsque les conjoints ne sont pas d’accord sur la prestation de sortie à partager (art. 123 et 124b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w:t>
      </w:r>
    </w:p>
    <w:p>
      <w:r>
        <w:rPr>
          <w:b/>
        </w:rPr>
        <w:t>E. 3</w:t>
      </w:r>
    </w:p>
    <w:p>
      <w:r>
        <w:t>Selon l'art. 22 al. 1 LFLP, en cas de divorce, les prestations de sortie et les parts de rente sont partagées conformément aux art. 122 à 124e du CC et 280 et 281 du CPC ; les art. 3 à 5 LFLP s'appliquent par analogie au montant à transférer.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(art. 22a LFLP).</w:t>
      </w:r>
    </w:p>
    <w:p>
      <w:r>
        <w:t>A/3325/2020 4/6</w:t>
      </w:r>
    </w:p>
    <w:p>
      <w:r>
        <w:rPr>
          <w:b/>
        </w:rPr>
        <w:t>E. 4</w:t>
      </w:r>
    </w:p>
    <w:p>
      <w:r>
        <w:t>Selon l’art. 124a CC, si, au moment de l’introduction de la procédure de divorce, l’un des époux perçoit une rente d’invalidité alors qu’il a déjà atteint l’âge réglementaire de la retraite ou perçoit une rente de vieillesse, le juge apprécie les modalités du partage. Il tient compte en particulier de la durée du mariage et des besoins de prévoyance de chacun des époux (al. 1). La part de rente attribuée au conjoint créancier est convertie en rente viagère. L’institution de prévoyance du conjoint débiteur lui verse cette dernière ou la transfère dans sa prévoyance professionnelle (al. 2). Le Conseil fédéral règle : 1. la conversion technique de la part de rente attribuée au conjoint créancier en une rente viagère ; la manière de procéder lorsque les prestations de vieillesse sont différées ou que la rente d’invalidité est réduite pour cause de surindemnisation (al. 3). Selon l’art. 124c CC, les prétentions réciproques des époux à des prestations de sortie ou à des parts de rente sont compensées entre elles. La compensation des prétentions à une rente a lieu avant la conversion de la part de rente attribuée au conjoint créancier en une rente viagère (al. 1). Les prestations de sortie ne peuvent être compensées par des parts de rente que si les époux et leurs institutions de prévoyance respectives y consentent (al. 2). Selon l’art. 124d CC, si l’exécution du partage au moyen de la prévoyance professionnelle ne peut être raisonnablement exigée compte tenu des besoins de prévoyance de chacun des époux, le conjoint débiteur est redevable au conjoint créancier d’une prestation en capital. Selon l’art. 124e al. 1 CC, si l’exécution du partage au moyen de la prévoyance professionnelle s’avère impossible, le conjoint débiteur est redevable au conjoint créancier d’une indemnité équitable sous la forme d’une prestation en capital ou d’une rente. L’art. 28l CPC prévoit qu’en l’absence de convention et si le montant des avoirs et des rentes déterminants est fixé, le tribunal statue sur le partage conformément aux dispositions du CC et de la LFLP (art. 122 à 124e CC, en relation avec les art. 22 à 22f, LFLP), établit le montant à transférer et demande aux institutions de prévoyance professionnelle concernées, en leur fixant un délai à cet effet, une attestation du caractère réalisable du régime envisagé (al. 1). L’art. 280, al. 2 est applicable par analogie (al. 2). Dans les autres cas d’absence de convention, le tribunal, à l’entrée en force de la décision sur le partage, défère d’office l’affaire au tribunal compétent en vertu de la LFLP et lui communique en particulier : a. la décision relative au partage ; b. la date du mariage et celle du divorce ; c. le nom des institutions de prévoyance professionnelle auprès desquelles les conjoints ont vraisemblablement des avoirs et le montant de ces avoirs ; d. le nom des institutions de prévoyance professionnelle qui versent des rentes aux époux, le montant de ces rentes et les parts de rente allouées (al. 3).</w:t>
      </w:r>
    </w:p>
    <w:p>
      <w:r>
        <w:rPr>
          <w:b/>
        </w:rPr>
        <w:t>E. 5</w:t>
      </w:r>
    </w:p>
    <w:p>
      <w:r>
        <w:t>En l’occurrence, les demandeurs étaient tous deux bénéficiaires d’une rente de vieillesse au jour du dépôt de la demande de divorce.</w:t>
      </w:r>
    </w:p>
    <w:p>
      <w:r>
        <w:t>A/3325/2020 5/6 Conformément aux art. 124a CC et 281 CPC, le juge du divorce doit apprécier les modalités du partage et communiquer, en l’absence de convention sur le partage, à la chambre de céans notamment le montant des rentes et les parts de rente allouées ; or, ces éléments ne ressortent pas du dispositif du jugement de divorce en cause, lequel ordonne le partage par moitié des avoirs de prévoyance professionnelle de chacun des époux durant le mariage (soit du 5 novembre 1972 au 19 septembre 2020), sans tenir compte du fait que le cas de prévoyance est déjà survenu pour chacun des demandeurs. La chambre de céans n’est donc pas à même d’exécuter le partage, même si l’instruction diligentée a permis d’établir que la demanderesse bénéficie d’une rente annuelle de CHF 763.80 et le demandeur d’une rente annuelle de CHF 12'506.40.</w:t>
      </w:r>
    </w:p>
    <w:p>
      <w:r>
        <w:rPr>
          <w:b/>
        </w:rPr>
        <w:t>E. 6</w:t>
      </w:r>
    </w:p>
    <w:p>
      <w:r>
        <w:t>Partant, la cause sera transmise d’office au Tribunal de première instance, comme objet de sa compétence (art. 280 et 281 CPC). Aucun émolument ne sera perçu, la procédure étant gratuite (art. 73 al. 2 LPP et 89H al. 1 de la loi sur la procédure administrative du 12 septembre 1985 [LPA-GE- E 5 10]). ***</w:t>
      </w:r>
    </w:p>
    <w:p>
      <w:r>
        <w:t>A/3325/2020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