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ATAS/737/2020 vom 3. September 2020</w:t>
      </w:r>
    </w:p>
    <w:p>
      <w:r>
        <w:t>GE Cour de justice, 2020-09-03, FR</w:t>
      </w:r>
    </w:p>
    <w:p>
      <w:r>
        <w:rPr>
          <w:b/>
        </w:rPr>
        <w:t xml:space="preserve">Quelle: </w:t>
      </w:r>
      <w:r>
        <w:t>https://mcp.opencaselaw.ch/entscheid/ge_gerichte_ATAS_737_2020</w:t>
      </w:r>
    </w:p>
    <w:p>
      <w:r>
        <w:t>FR: GE_GERICHTE ATAS/737/2020 du 3 septembre 2020</w:t>
      </w:r>
    </w:p>
    <w:p>
      <w:r>
        <w:t>IT: GE_GERICHTE ATAS/737/2020 del 3 settembre 2020</w:t>
      </w:r>
    </w:p>
    <w:p>
      <w:pPr>
        <w:pStyle w:val="Heading2"/>
      </w:pPr>
      <w:r>
        <w:t>Erwägungen</w:t>
      </w:r>
    </w:p>
    <w:p>
      <w:r>
        <w:rPr>
          <w:b/>
        </w:rPr>
        <w:t>E. 1</w:t>
      </w:r>
    </w:p>
    <w:p>
      <w:r>
        <w:t>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LAA.</w:t>
      </w:r>
    </w:p>
    <w:p>
      <w:r>
        <w:t>A/2164/2020 - 3/4 - Sa compétence pour juger du cas d’espèce est ainsi établie.</w:t>
      </w:r>
    </w:p>
    <w:p>
      <w:r>
        <w:rPr>
          <w:b/>
        </w:rPr>
        <w:t>E. 2</w:t>
      </w:r>
    </w:p>
    <w:p>
      <w:r>
        <w:t>L'art. 61 LPGA prévoit que la procédure devant la chambre des assurances sociales est réglée par le droit cantonal, sous réserve de ce que celui-ci respecte les exigences minimales requises par la LPGA. Parmi celles-ci, l’art. 61 let. b LPGA requiert que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Dans le même sens, l’art. 89B LPA, qui fait partie du titre IVA afférent à la procédure applicable devant la chambre des assurances sociales, prescrit que la demande ou le recours est adressé en deux exemplaires à ladite chambre soit par une lettre, soit par un mémoire signé, comportant : les nom, prénoms, domicile ou résidence des parties ou, s'il s'agit d'une personne morale, toute autre désignation précise (let. a) ; un exposé succinct des faits ou des motifs invoqués (let. b) ; des conclusions (let. c ; al. 1). Le cas échéant, la décision attaquée et les pièces invoquées sont jointes (al. 2). Si la lettre ou le mémoire n'est pas conforme à ces règles, la chambre des assurances sociales impartit un délai convenable à son auteur pour le compléter en indiquant qu'en cas d'inobservation la demande ou le recours est écarté (al. 3).</w:t>
      </w:r>
    </w:p>
    <w:p>
      <w:r>
        <w:rPr>
          <w:b/>
        </w:rPr>
        <w:t>E. 3</w:t>
      </w:r>
    </w:p>
    <w:p>
      <w:r>
        <w:t>En l’espèce, le recourant ne motive aucunement son recours, par des faits qui n’auraient pas été correctement pris en compte par l’intimée et/ou par des motifs permettant de savoir sur quels fondements sa contestation repose. Cette omission rend son acte incompatible avec les exigences des art. 61 let. b LPGA et 89B al. 1 LPA. L’intéressé n’a pas complété son recours dans le délai convenable imparti par la chambre de céans, ayant reçu la lettre de cette dernière le 21 juillet 2020 et ayant ainsi eu à disposition vingt jours (jusqu’au 10 août 2020) pour le faire, puis ayant bénéficié, en dépit du fait qu’il ne s’était pas manifesté, d’un délai de grâce supplémentaire échéant au 24 août 2020, la conséquence de l’absence de réaction, indiquée dans le courrier de la chambre de céans du 17 juillet 2020, est l’irrecevabilité de son recours, conformément aux art. 61 let. b LPGA et 89B al. 3 LPA.</w:t>
      </w:r>
    </w:p>
    <w:p>
      <w:r>
        <w:rPr>
          <w:b/>
        </w:rPr>
        <w:t>E. 4</w:t>
      </w:r>
    </w:p>
    <w:p>
      <w:r>
        <w:t>Vu ce qui précède, il y a lieu, sans instruction préalable (art. 72 LPA), de constater que le recours est manifestement irrecevable.</w:t>
      </w:r>
    </w:p>
    <w:p>
      <w:r>
        <w:rPr>
          <w:b/>
        </w:rPr>
        <w:t>E. 5</w:t>
      </w:r>
    </w:p>
    <w:p>
      <w:r>
        <w:t>Pour le surplus, la procédure est gratuite (art. 61 let. a LPGA).</w:t>
      </w:r>
    </w:p>
    <w:p>
      <w:r>
        <w:t>A/2164/2020 - 4/4 -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