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ATAS/737/2019 vom 21. August 2019</w:t>
      </w:r>
    </w:p>
    <w:p>
      <w:r>
        <w:t>GE Cour de justice, 2019-08-21, FR</w:t>
      </w:r>
    </w:p>
    <w:p>
      <w:r>
        <w:rPr>
          <w:b/>
        </w:rPr>
        <w:t xml:space="preserve">Quelle: </w:t>
      </w:r>
      <w:r>
        <w:t>https://mcp.opencaselaw.ch/entscheid/ge_gerichte_ATAS_737_2019</w:t>
      </w:r>
    </w:p>
    <w:p>
      <w:r>
        <w:t>FR: GE_GERICHTE ATAS/737/2019 du 21 août 2019</w:t>
      </w:r>
    </w:p>
    <w:p>
      <w:r>
        <w:t>IT: GE_GERICHTE ATAS/737/2019 del 21 agosto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du recourant à une rente d’invalidité.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A/3827/2017 - 18/27 -</w:t>
      </w:r>
    </w:p>
    <w:p>
      <w:r>
        <w:rPr>
          <w:b/>
        </w:rPr>
        <w:t>E. 5</w:t>
      </w:r>
    </w:p>
    <w:p>
      <w:r>
        <w:t>L'évaluation des syndromes sans pathogenèse ni étiologie claires et sans constat de déficit organique ne fait pas l'objet d'un consensus médical (arrêt du Tribunal fédéral 9C_619/2012 du 9 juillet 2013 consid. 4.1).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w:t>
      </w:r>
    </w:p>
    <w:p>
      <w:r>
        <w:t>A/3827/2017 - 19/27 -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Dans un arrêt du 3 juin 2015 publié aux ATF 141 V 281, le Tribunal fédéral a considéré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Dans la catégorie « degré de gravité fonctionnel », notre Haute Cour distingue entre le complexe « atteinte à la santé » avec trois sous-catégories, le complexe « personnalité » et le complexe « environnement social ».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w:t>
      </w:r>
    </w:p>
    <w:p>
      <w:r>
        <w:t>A/3827/2017 - 20/27 -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 les fonctions complexes du moi ». Selon le Tribunal fédéral, «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 (arrêt op. cit. consid. 4.3.2).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A/3827/2017 - 21/27 -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arrêt du Tribunal fédéral des assurances I 244/06 du 20 juin 2007 consid. 6.1et les références).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A/3827/2017 - 22/27 -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A/3827/2017 - 23/27 -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w:t>
      </w:r>
    </w:p>
    <w:p>
      <w:r>
        <w:t>A/3827/2017 - 24/27 -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la décision querellée se fonde sur l’appréciation du SMR du 13 juillet 2017, qui reprend les conclusions du rapport de l’expertise pluridisciplinaire du 9 mai 2017 effectuée par la CRR. Les experts des différentes disciplines se sont concertés avant de rendre leurs conclusions, qui sont convaincantes, sur la base du dossier médical de l’assuré, en prenant en compte les plaintes de celui-ci et en se fondant sur des observations cliniques. L’expertise de la CRR répond ainsi aux réquisits pour se voir reconnaître une pleine valeur probante, Le recourant a contesté la décision de l’intimé en faisant valoir que ses douleurs l’empêchaient de travailler et de s’occuper des tâches ménagères ainsi que de ses enfants. Il faut distinguer à cet égard l’incapacité subjective du recourant, de celle qui peut être rattachée à une atteinte objective. En l’occurrence, les experts rhumatologue et neurologue ont pris en compte les plaintes du recourant relatives à ses douleurs, mais estimé que celui-ci ne souffrait pas d’une atteinte objectivable limitant sa capacité de travail dans une activité adaptée. Ils n’ont pas ignoré qu’une partie au moins des douleurs ressenties par le recourant provenait d’une atteinte neurologique, mais l’expert neurologue a motivé de façon convaincante que cette</w:t>
      </w:r>
    </w:p>
    <w:p>
      <w:r>
        <w:t>A/3827/2017 - 25/27 - atteinte n’empêchait pas le recourant d’exercer une activité adaptée à ses limitations fonctionnelles. Dans son rapport du 2 octobre 2018, le Dr N______ retient que le recourant souffre d’une atteinte neurologique, mais précise ne pas pouvoir déterminer son effet sur sa capacité de travail. Ce médecin ne remet ainsi pas sérieusement en cause la valeur probante de l’expertise de la CRR, du point de vue neurologique. S’agissant du rapport établi par la Dresse S______ le 3 décembre 2018, il confirme également une atteinte neurologique pouvant être responsable de douleurs, sans se prononcer sur la capacité de travail du recourant. Ce rapport ne remet pas non plus sérieusement en cause les conclusions de la CRR. Dans son rapport du 23 mars 2019, le Dr Q______ retient que le recourant souffre de douleurs ayant des effets sur la capacité de travail, y compris dans une activité adaptée. Cette appréciation n’est pas convaincante, dès lors que ce médecin précise que les douleurs du recourant ne peuvent pas être objectivées. Contrairement à ce qu’a fait valoir le recourant, le diagnostic de syndrome douloureux régional complexe a été examiné par l’expert rhumatologue et même de façon détaillée, mais en utilisant les termes d’algodystrophie et de CPRS, qui sont d’autres dénominations du syndrome douloureux régional complexe. L’expert psychiatre s’est prononcé quant à lui sur un éventuel trouble somatoforme douloureux, en concluant qu’on ne pouvait retenir ce diagnostic, car les douleurs ne présentaient pas le focus principal de l’attention de l’assuré, qui continuait d’être orienté vers le monde extérieur qui l’entourait. On assistait à une personnalité accentuée, qui avait possiblement atteint le degré d’un trouble de la personnalité maladif spécifique, qui pouvait avoir un élément constitutionnel, mais qui semblait plutôt être liée à des événements dans l’enfance dont l’assuré n’avait retenu aucun souvenir. En tout cas, il y avait une notion d’une carence affective très importante, voire grave, dans l’enfance. Ce trouble de la personnalité n’avait pas eu d’impact sur la vie professionnelle de l’expertisé. Au contraire, ce dernier avait toujours scrupuleusement observé son engagement professionnel et l’avait émotionnellement fort investi. La motivation de l’expert permet d’établir de façon satisfaisante que les indicateurs développés par le Tribunal fédéral pour reconnaître un trouble somatoforme douloureux incapacitant ne sont pas remplis. Il convient encore de relever que le recourant a été capable de suivre la formation qui lui a été octroyée par l’intimé du 3 mars au 25 juin 2016, ce qui relativise l’intensité des douleurs que celui-ci indique ressentir et confirme qu’il est capable de travailler dans une activité adaptée. Aucun rapport n’a été établi par l’institution formatrice du recourant, de sorte que l’on ne peut retenir qu’il a été constaté lors de sa formation d’assistant en ressources humaines qu’il avait été difficile pour le recourant de travailler toute la journée assis derrière un bureau, comme il le prétend. Le recourant a produit un rapport médical établi le 4 août 2016 – soit après sa formation – par le Dr H______ indiquant que la persistance de douleurs intenses</w:t>
      </w:r>
    </w:p>
    <w:p>
      <w:r>
        <w:t>A/3827/2017 - 26/27 - et continues limitait sa capacité de travail et le rendement, même dans une activité principalement assise, de type travail administratif, sous forme principalement d’une diminution de la capacité de concentration, et que cela avait été mis en évidence, lors d’un stage de formation récent et que sa capacité de travail dans une activité adaptée de type administratif/bureau ne dépassait pas 50% et de façon durable. Cette appréciation de la capacité de travail du recourant n’est pas convaincante, puisque le Dr H______ n’a pas mis ce dernier en arrêt de travail pendant sa formation, alors qu’il l’a vu en février et mai 2016. Le rapport médical établi le 13 août 2019 par le Dr F______ ne remet pas non plus sérieusement en cause les conclusions de l'expertise, dès lors qu'il émane d'un médecin qui n'est pas spécialisé en neurologie ou en rhumatologie et qu'il n'est que brièvement motivé. Au vu des considérations qui précèdent, c’est à juste titre que l’intimé s’est fondé sur les conclusions de l’expertise du 9 mai 2017 pour retenir une incapacité de travail entière dans l’activité habituelle du recourant (installateur de matériel informatique) dès le 7 septembre 2014, pour des raisons somatiques, avec une reprise d’activité exigible dans une activité adaptée dès le 1er octobre 2015. Le calcul de l’invalidité n’a pas été remis en cause par le recourant et n’appelle pas la critique. La décision querellée doit donc être confirmée.</w:t>
      </w:r>
    </w:p>
    <w:p>
      <w:r>
        <w:rPr>
          <w:b/>
        </w:rPr>
        <w:t>E. 11</w:t>
      </w:r>
    </w:p>
    <w:p>
      <w:r>
        <w:t>Les faits de la cause sont suffisamment établis pour la trancher, de sorte qu’il n’y a pas lieu de donner suite aux demandes d’instruction complémentaire requises par le recourant.</w:t>
      </w:r>
    </w:p>
    <w:p>
      <w:r>
        <w:rPr>
          <w:b/>
        </w:rPr>
        <w:t>E. 12</w:t>
      </w:r>
    </w:p>
    <w:p>
      <w:r>
        <w:t>Si celui-ci a besoin d’un soutien actif dans la recherche d’un emploi, il peut requérir auprès de l’intimé l’octroi d’une mesure de placement (art. 18 LAI).</w:t>
      </w:r>
    </w:p>
    <w:p>
      <w:r>
        <w:rPr>
          <w:b/>
        </w:rPr>
        <w:t>E. 13</w:t>
      </w:r>
    </w:p>
    <w:p>
      <w:r>
        <w:t>Infondé, le recours sera rejeté et un émolument de CHF 200.- sera mis à la charge du recourant (art. 69 al. 1bis LAI).</w:t>
      </w:r>
    </w:p>
    <w:p>
      <w:r>
        <w:t>A/3827/2017 - 27/27 -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