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ATAS/736/2019 vom 19. August 2019</w:t>
      </w:r>
    </w:p>
    <w:p>
      <w:r>
        <w:t>GE Cour de justice, 2019-08-19, FR</w:t>
      </w:r>
    </w:p>
    <w:p>
      <w:r>
        <w:rPr>
          <w:b/>
        </w:rPr>
        <w:t xml:space="preserve">Quelle: </w:t>
      </w:r>
      <w:r>
        <w:t>https://mcp.opencaselaw.ch/entscheid/ge_gerichte_ATAS_736_2019</w:t>
      </w:r>
    </w:p>
    <w:p>
      <w:r>
        <w:t>FR: GE_GERICHTE ATAS/736/2019 du 19 août 2019</w:t>
      </w:r>
    </w:p>
    <w:p>
      <w:r>
        <w:t>IT: GE_GERICHTE ATAS/736/2019 del 19 agosto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L'objet du litige porte sur le bien-fondé du refus de l'intimé d'entrer en matière sur la nouvelle demande de prestations de la recourante.</w:t>
      </w:r>
    </w:p>
    <w:p>
      <w:r>
        <w:rPr>
          <w:b/>
        </w:rPr>
        <w:t>E. 4</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w:t>
      </w:r>
    </w:p>
    <w:p>
      <w:r>
        <w:t>A/1988/2019 - 5/8 -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RAI, en vigueur jusqu'au 31 décembre 2011, reste applicable à l'art. 87 al. 2 et 3 RAI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w:t>
      </w:r>
    </w:p>
    <w:p>
      <w:r>
        <w:t>A/1988/2019 - 6/8 -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w:t>
      </w:r>
    </w:p>
    <w:p>
      <w:r>
        <w:t>En l’occurrence, c’est à juste titre que l’intimé a estimé, en suivant l’avis du SMR du 11 février 2019, que la recourante n’avait pas apporté d’éléments médicaux justifiant une aggravation de son état de santé depuis sa dernière décision du 16 décembre 2014. En effet, les rapports médicaux de la Dresse B______ du 16 janvier 2019 et celui du Dr C______ du 28 janvier 2019, rappellent les affections présentées par la recourante depuis plusieurs années, en mentionnant des douleurs musculaires diffuses, migrantes et handicapantes, constantes au niveau lombaire et du bassin, une rigidité des mouvements de la colonne cervicale et dorso lombaire ; s’y ajoutent une épicondylite bilatérale et des signes de tendinite du sous-épineux à l’épaule gauche, avec une limitation de la capacité de travail depuis 2012 ; les diagnostics étaient ceux de fibromyalgie et syndrome de fatigue chronique. Or, les expertises du CEMed du 25 août 2010 et du 29 août 2014 relataient déjà des plaintes de la recourante en relation avec des douleurs multiples au niveau du dos et des épaules, des cervicalgies chroniques, une fatigue excessive et un diagnostic de trouble somatoforme douloureux et cervicalgies chroniques. La simple mention, sans autre précision, d’une épicondylite bilatérale et des signes de tendinite à l’épaule gauche, ne saurait constituer un élément suffisant pour admettre que ceux-ci ont, de façon plausible, une influence sur le degré d’invalidité de la recourante. Par ailleurs, le rapport médical de la Dresse B______ du 17 mai 2019, lequel atteste effectivement d’une péjoration de l’état de santé de la recourante depuis 18 mois, par l’intensification de la symptomatologie, ne peut pas être pris en compte dans l’examen du bien-fondé de la décision litigieuse dès lors qu’il a été produit par la recourante postérieurement à cette dernière. Il incombera à la recourante, si elle l’estime pertinent, de déposer une nouvelle demande de prestation démontrant une aggravation plausible de son état de santé depuis la décision de l’intimé du 16 février 2014.</w:t>
      </w:r>
    </w:p>
    <w:p>
      <w:r>
        <w:t>A/1988/2019 - 7/8 -</w:t>
      </w:r>
    </w:p>
    <w:p>
      <w:r>
        <w:rPr>
          <w:b/>
        </w:rPr>
        <w:t>E. 6</w:t>
      </w:r>
    </w:p>
    <w:p>
      <w:r>
        <w:t>Partant, le recours ne peut qu’être rejeté.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w:t>
      </w:r>
    </w:p>
    <w:p>
      <w:r>
        <w:t>A/1988/2019 - 8/8 -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