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ATAS/736/2014 vom 17. Juni 2014</w:t>
      </w:r>
    </w:p>
    <w:p>
      <w:r>
        <w:t>GE Cour de justice, 2014-06-17, FR</w:t>
      </w:r>
    </w:p>
    <w:p>
      <w:r>
        <w:rPr>
          <w:b/>
        </w:rPr>
        <w:t xml:space="preserve">Quelle: </w:t>
      </w:r>
      <w:r>
        <w:t>https://mcp.opencaselaw.ch/entscheid/ge_gerichte_ATAS_736_2014</w:t>
      </w:r>
    </w:p>
    <w:p>
      <w:r>
        <w:t>FR: GE_GERICHTE ATAS/736/2014 du 17 juin 2014</w:t>
      </w:r>
    </w:p>
    <w:p>
      <w:r>
        <w:t>IT: GE_GERICHTE ATAS/736/2014 del 17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Le recours, interjeté dans les délai et forme légaux, est recevable (art. 56ss LPGA).</w:t>
      </w:r>
    </w:p>
    <w:p>
      <w:r>
        <w:rPr>
          <w:b/>
        </w:rPr>
        <w:t>E. 4</w:t>
      </w:r>
    </w:p>
    <w:p>
      <w:r>
        <w:t>Le litige est limité au point de savoir si l'OAI était fondé à refuser d'entrer en matière sur la nouvelle demande de prestations déposée par l'assurée le 2 mai 2013.</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w:t>
      </w:r>
    </w:p>
    <w:p>
      <w:r>
        <w:t>A/145/2014 - 6/9 -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w:t>
      </w:r>
    </w:p>
    <w:p>
      <w:r>
        <w:t>A/145/2014 - 7/9 -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6</w:t>
      </w:r>
    </w:p>
    <w:p>
      <w:r>
        <w:t>En l’espèce, il convient de comparer la situation existant lors de la décision du 28 avril 2008, à celle prévalant au moment de la décision querellée du 3 décembre 2013. Il y a préalablement lieu de rappeler que le Tribunal cantonal des assurances sociales a confirmé la décision du 28 avril 2008.</w:t>
      </w:r>
    </w:p>
    <w:p>
      <w:r>
        <w:rPr>
          <w:b/>
        </w:rPr>
        <w:t>E. 7</w:t>
      </w:r>
    </w:p>
    <w:p>
      <w:r>
        <w:t>Il s’agit à présent de déterminer si les rapports médicaux produits par l’assurée dans le cadre de sa nouvelle demande de prestations sont ou non de nature à établir de façon plausible que son invalidité s’est modifiée de manière à influencer ses droits.</w:t>
      </w:r>
    </w:p>
    <w:p>
      <w:r>
        <w:rPr>
          <w:b/>
        </w:rPr>
        <w:t>E. 8</w:t>
      </w:r>
    </w:p>
    <w:p>
      <w:r>
        <w:t>Dans son rapport du 2 mars 2008, le Dr C______ avait retenu les diagnostics de syndrome anxio-dépressif réactionnel chronique et de cyphose cervico-dorsale depuis le milieu de l'année 2001 environ. La Dresse H______ a indiqué, le 3 juin 2013, que l’assurée souffre « d’une recrudescence des symptômes dépressifs et anxieux, des difficultés d’adaptation. L’étiologie de cette symptomatologie est complexe et multifactorielle ». Force est de constater qu’aucun élément nouveau déterminant n’est ainsi mis en évidence, étant au surplus rappelé que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w:t>
      </w:r>
    </w:p>
    <w:p>
      <w:r>
        <w:t>A/145/2014 - 8/9 -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9</w:t>
      </w:r>
    </w:p>
    <w:p>
      <w:r>
        <w:t>L’assurée fait valoir un arrêt rendu le 30 janvier 2013 (ATAS/87/2013), aux termes duquel la chambre de céans a admis que la recourante avait rendu plausible une dégradation de son état de santé. L’état de fait dont la chambre de céans a eu à connaître dans cet arrêt s’avère toutefois très différent de celui du cas d’espèce. En effet, dans cet arrêt, de nouveaux diagnostics avaient été retenus dans le cadre de la nouvelle demande, soit un état dépressif – alors que l’humeur avait été considérée comme plutôt bonne lors de la première décision – et des signes de coxarthrose relativement avancée – alors que seule une coxarthrose discrète avait précédemment été mise en évidence.</w:t>
      </w:r>
    </w:p>
    <w:p>
      <w:r>
        <w:rPr>
          <w:b/>
        </w:rPr>
        <w:t>E. 10</w:t>
      </w:r>
    </w:p>
    <w:p>
      <w:r>
        <w:t>Rien de tel en l’occurrence. Il y a en conséquence lieu de confirmer en l’état le refus d’entrer en matière que lui a opposé l’OAI. Au demeurant, le juge n’a pas à instruire les aspects médicaux du dossier par l’audition de médecins, voire une expertise, puisqu’il doit se contenter d’examiner si l’assurée a rendu vraisemblable l’aggravation de son état de santé dans le délai fixé par l’OAI pour ce faire, ce qui n’est pas le cas. Aussi le recours, mal fondé, est-il rejeté.</w:t>
      </w:r>
    </w:p>
    <w:p>
      <w:r>
        <w:rPr>
          <w:b/>
        </w:rPr>
        <w:t>E. 11</w:t>
      </w:r>
    </w:p>
    <w:p>
      <w:r>
        <w:t>Bien que la procédure ne soit pas gratuite en matière d'assurance-invalidité (art. 69 al. 1bis LAI), il convient de renoncer à la perception d'un émolument, l'assurée étant au bénéfice de l'assistance juridique (art. 12 al. 1 du règlement sur les frais, émoluments et indemnités en procédure administrative du 30 juillet 1986; RS E 510. 03).</w:t>
      </w:r>
    </w:p>
    <w:p>
      <w:r>
        <w:t>A/145/2014 - 9/9 -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