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ATAS/736/2009 vom 16. Juni 2009</w:t>
      </w:r>
    </w:p>
    <w:p>
      <w:r>
        <w:t>GE Cour de justice, 2009-06-16, FR</w:t>
      </w:r>
    </w:p>
    <w:p>
      <w:r>
        <w:rPr>
          <w:b/>
        </w:rPr>
        <w:t xml:space="preserve">Quelle: </w:t>
      </w:r>
      <w:r>
        <w:t>https://mcp.opencaselaw.ch/entscheid/ge_gerichte_ATAS_736_2009</w:t>
      </w:r>
    </w:p>
    <w:p>
      <w:r>
        <w:t>FR: GE_GERICHTE ATAS/736/2009 du 16 juin 2009</w:t>
      </w:r>
    </w:p>
    <w:p>
      <w:r>
        <w:t>IT: GE_GERICHTE ATAS/736/2009 del 16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Aux termes de l'art. 8 LPGA, est réputée invalidité l'incapacité de gain totale ou partielle qui est présumée permanente ou de longue durée. L'assuré a droit à une rente s'il est invalide à 40% au moins, selon l'art. 28 al. 1 LAI. Quant au droit à la rente, il prend naissance au plus tôt à la date dès laquelle l'assuré présente une incapacité de gain durable de 40% au moins, ou a présenté, en moyenne, une incapacité de travail de 40% au moins pendant une année sans interruption notable (art. 29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(art.16 LPGA). L'invalidité des assurés qui n'exercent pas d'activité lucrative et dont on ne peut raisonnablement exiger qu'ils en entreprennent une être évalué, en dérogation à l'article 16 LPGA, en fonction de l'incapacité d'accomplir leurs travaux habituels (art. 28 al. 2 bis LAI). Afin de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A/347/2009 - 5/8 - Par ailleurs,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5</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6</w:t>
      </w:r>
    </w:p>
    <w:p>
      <w:r>
        <w:t>Enfin,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w:t>
      </w:r>
    </w:p>
    <w:p>
      <w:r>
        <w:t>A/347/2009 - 6/8 -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w:t>
      </w:r>
    </w:p>
    <w:p>
      <w:r>
        <w:rPr>
          <w:b/>
        </w:rPr>
        <w:t>E. 7</w:t>
      </w:r>
    </w:p>
    <w:p>
      <w:r>
        <w:t>En l'espèce, le Tribunal constate que l'état de santé de la recourante a fait l'objet d'une appréciation globale et complète par le SMR. Le rapport d'examen a toute valeur probante, selon les critères susmentionnés, de sorte que ses conclusions doivent être suivies. Le recourant ne le critique d'ailleurs pas, se contentant d'alléguer que son état de santé ne lui permet pas de travailler, ce qui est même contesté par son médecin traitant, la capacité de travail étant effectivement entière dans une activité qui respecte les limitations fonctionnelles du recourant. Malgré les longs délais accordés au recourant à sa demande, il n'a produit aucun document médical susceptible de remettre en cause l'appréciation du SMR. Le recourant a par</w:t>
      </w:r>
    </w:p>
    <w:p>
      <w:r>
        <w:t>A/347/2009 - 7/8 - ailleurs de bonnes compétences manuelles et de l'expérience devant lui permettre d'exercer une activité de petite manutention. Une aide au placement pourrait lui être profitable, mais devra faire l'objet d'une demande motivée auprès de l'OCAI (cf. ATF 9C_28/2009). S'agissant de l'aspect psychique, le diagnostic, et par conséquent l'incapacité de travail, retenus par le CHUV, n'ont pas été confirmés par le SMR, au motif que les éléments diagnostiques présents ne permettaient pas de diagnostiquer autre chose qu'une dysthymie. De même un trouble somatoforme douloureux a été écarté. Vu ce qui précède, la décision litigieuse ne prête pas le flanc à la critique. Le recours sera par conséquent rejeté.</w:t>
      </w:r>
    </w:p>
    <w:p>
      <w:r>
        <w:rPr>
          <w:b/>
        </w:rPr>
        <w:t>E. 8</w:t>
      </w:r>
    </w:p>
    <w:p>
      <w:r>
        <w:t>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fixé en l'espèce à 200 F.</w:t>
      </w:r>
    </w:p>
    <w:p>
      <w:r>
        <w:t>A/347/2009 - 8/8 -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