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ATAS/735/2024 vom 26. September 2024</w:t>
      </w:r>
    </w:p>
    <w:p>
      <w:r>
        <w:t>GE Cour de justice, 2024-09-26, FR</w:t>
      </w:r>
    </w:p>
    <w:p>
      <w:r>
        <w:rPr>
          <w:b/>
        </w:rPr>
        <w:t xml:space="preserve">Quelle: </w:t>
      </w:r>
      <w:r>
        <w:t>https://mcp.opencaselaw.ch/entscheid/ge_gerichte_ATAS_735_2024</w:t>
      </w:r>
    </w:p>
    <w:p>
      <w:r>
        <w:t>FR: GE_GERICHTE ATAS/735/2024 du 26 septembre 2024</w:t>
      </w:r>
    </w:p>
    <w:p>
      <w:r>
        <w:t>IT: GE_GERICHTE ATAS/735/2024 del 26 settembre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60 al. 1 LPGA ; art. 62 al. 1 LPA ; art. 9 de la loi cantonale du 14 octobre 1965 sur les prestations fédérales complémentaires à l’assurance-vieillesse et survivants et à l’assurance-invalidité [LPFC – J 4 20]; art. 43 LPCC). Lorsque le délai échoit un samedi, un dimanche ou un jour férié selon le droit fédéral ou cantonal, son terme est reporté au premier jour ouvrable qui suit (art. 38 al. 3 LPGA et 17 al. 3 LPA).</w:t>
      </w:r>
    </w:p>
    <w:p>
      <w:r>
        <w:rPr>
          <w:b/>
        </w:rPr>
        <w:t>E. 1.5</w:t>
      </w:r>
    </w:p>
    <w:p>
      <w:r>
        <w:t>Datée du 26 octobre 2023, la décision litigieuse a été reçue le lendemain. Ayant commencé à courir le 28 octobre 2023, le délai de recours est arrivé à échéance le 27 novembre 2023, le dernier jour du délai tombant sur un dimanche (26 novembre 2023). Posté le 27 novembre 2023, le recours a été interjeté en temps utile. Celui-ci respecte également les exigences de forme prévues par l’art. 61 let. b LPGA (cf. aussi l’art. 89B LPA), de sorte qu’il est recevable.</w:t>
      </w:r>
    </w:p>
    <w:p>
      <w:r>
        <w:rPr>
          <w:b/>
        </w:rPr>
        <w:t>E. 2.1</w:t>
      </w:r>
    </w:p>
    <w:p>
      <w:r>
        <w:t>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w:t>
      </w:r>
    </w:p>
    <w:p>
      <w:r>
        <w:t>A/3945/2023 - 7/24 -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2.2</w:t>
      </w:r>
    </w:p>
    <w:p>
      <w:r>
        <w:t>En l’occurrence les calculs comparatifs effectués le 8 décembre 2020 en prévision de l’entrée en vigueur du nouveau droit montrent que si ce dernier était appliqué, le montant des PC serait inférieur à celui calculé selon l’ancien droit, voire devrait être supprimé (cf. pièce 39 intimé). Le SPC a donc continué à appliquer l’ancien droit, plus favorable à l’intéressé, durant toute la période transitoire s’étendant du 1er janvier 2021 au 31 décembre 2023, sans que ce point soit contesté. En outre, étant donné que l’état de fait faisant l’objet de la décision litigieuse ne s’étend pas jusqu’en 2024 – année à compter de laquelle le nouveau droit s’applique indistinctement à tous les bénéficiaires de PC –, les dispositions légales de la LPC seront citées ci-après dans leur teneur en vigueur jusqu’au 31 décembre 2020.</w:t>
      </w:r>
    </w:p>
    <w:p>
      <w:r>
        <w:rPr>
          <w:b/>
        </w:rPr>
        <w:t>E. 3</w:t>
      </w:r>
    </w:p>
    <w:p>
      <w:r>
        <w:t>Le litige porte sur le bien-fondé de la demande en restitution de la somme de CHF 28’352.30 formée par l’intimé et correspondant aux prestations qu’il estime avoir versées à tort au recourant pour la période du 1er décembre 2017 au 30 novembre 2022, en particulier sur l’intégration dans les calculs de la valeur de rachat de l’assurance-vie ASPECTA/YOUPLUS et d’un revenu hypothétique de l’épouse du recourant.</w:t>
      </w:r>
    </w:p>
    <w:p>
      <w:r>
        <w:rPr>
          <w:b/>
        </w:rPr>
        <w:t>E. 4</w:t>
      </w:r>
    </w:p>
    <w:p>
      <w:r>
        <w:t>Sur le plan fédéral, les personnes qui ont leur domicile et leur résidence habituelle en Suisse et qui remplissent les conditions personnelles prévues aux art. 4, 6 et</w:t>
      </w:r>
    </w:p>
    <w:p>
      <w:r>
        <w:rPr>
          <w:b/>
        </w:rPr>
        <w:t>E. 4.1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t>A/3945/2023 - 8/24 - Les revenus déterminants comprennent notamment un quinzième de la fortune nette (un dixième pour les bénéficiaires de rentes de vieillesse), dans la mesure où elle dépasse CHF 60’000.- pour les couples et CHF 15’000.- pour les orphelins et les enfants donnant droit à des rentes pour enfants de l’AVS ou de l’AI, ainsi que les ressources et parts de fortune dont un ayant droit s’est dessaisi (art. 11 al. 1 let. c et g LPC).</w:t>
      </w:r>
    </w:p>
    <w:p>
      <w:r>
        <w:rPr>
          <w:b/>
        </w:rPr>
        <w:t>E. 4.2</w:t>
      </w:r>
    </w:p>
    <w:p>
      <w:r>
        <w:t>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127 V 248 consid. 4a ; arrêt du Tribunal fédéral 9C_831/2016 du 11 juillet 2017 consid. 5.1 ; 9C_333/2016 du 3 novembre 2016 consid. 4.3.1). Un élément de fortune doit ainsi être pris en compte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par exemple en demandant le versement d’un capital de prévoyance déposé sur un compte de libre passage (ATF 140 V 201 consid. 2.2 ; arrêts du Tribunal fédéral 9C_612/2012 du 28 novembre 2012 consid. 3.3 ; 9C_41/2011 du 16 août 2011 consid. 6.2 ; ATAS/1080/2018 du 19 novembre 2018 consid. 6a ; Michel VALTERIO, Commentaire de la loi fédérale sur les prestations complémentaires à l’AVS et à l’AI, 2015, n. 44 ad art. 11).</w:t>
      </w:r>
    </w:p>
    <w:p>
      <w:r>
        <w:rPr>
          <w:b/>
        </w:rPr>
        <w:t>E. 4.3</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134 I 65 consid. 3.2 ; 131 V 329 consid. 4.2). Il y a également dessaisissement lorsque le conjoint d’une personne assurée s’abstient de mettre en valeur sa capacité de gain, alors qu’il pourrait se voir obligé d’exercer une activité lucrative en vertu de l’art. 163 du Code civil suisse du 10 décembre 1907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w:t>
      </w:r>
    </w:p>
    <w:p>
      <w:r>
        <w:t>A/3945/2023 - 9/24 -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5. Sur le plan cantonal, ont droit aux prestations complémentaires les personnes qui remplissent les conditions de l’art. 2 LPCC et dont le revenu annuel déterminant n’atteint pas le revenu minimum cantonal d’aide sociale applicable (art. 4 LPCC). 5.1 Le montant annuel de la prestation complémentaire correspond à la part des dépenses reconnues qui excède le revenu annuel déterminant de l’intéressé (art. 15 al. 1 LPCC). 5.2 Selon l’art. 5 LCC, le revenu déterminant est calculé conformément aux règles fixées dans la LPC et ses dispositions d’exécution, moyennant des adaptations. 5.3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LPCC (art. 6 LPCC). 5.4 Selon l’art. 7 LPCC, la fortune comprend la fortune mobilière et immobilière définie par la loi fédérale et ses dispositions d’exécution (al. 1). La fortune est évaluée selon les règles de la loi sur l’imposition des personnes physiques, du 27 septembre 2009 (LIPP – D 3 08), à l’exception notamment des règles concernant les déductions sociales sur la fortune, prévues aux articles 50 let. e et 58 de ladite loi, qui ne sont pas applicables. Les règles d’évaluation prévues par la LPC et ses dispositions d’exécution sont réservées (al. 2). 6. En l’espèce, c’est dans le cadre de la révision périodique du dossier du recourant, initiée le 1er novembre 2022 (cf. pièce 89 intimé), que l’intimé s’est fait</w:t>
      </w:r>
    </w:p>
    <w:p>
      <w:r>
        <w:t>A/3945/2023 - 10/24 - remettre, à sa demande, le 17 janvier 2023, les justificatifs relatifs à la valeur de rachat de l’assurance-vie ASPECTA/YOUPLUS au 31 décembre des années 2015 à 2021. Avant de demander ces justificatifs le 1er novembre 2022, l’intimé avait reçu, le même jour, les avis de taxation 2017 à 2021 de l’intéressé, mentionnant la valeur de rachat « des assurances-vie et vieillesse ». Une assurance vie constitue un actif à prendre en compte du moment qu’elle possède une valeur de rachat, car elle peut être « vendue ». Puisque sa valeur patrimoniale correspond à sa valeur de rachat, l’assurance-vie doit être prise en compte pour cette valeur dans le calcul de la fortune déterminante. A contrario, les assurances-vie non rachetables n’ont pas de valeur patrimoniale et ne doivent donc pas être prises en compte (cf. Ralph JÖHL/ Patricia USINGER-EGGER, Ergänzungsleistungen zur AHV/IV, in Ulrich MEYER [éd.], Schweizerisches Bundesverwaltungsrecht [SBVR], vol. XIV, Sécurité sociale, 3e éd. 2016, n. 169 et les références). Dans la mesure où il ressort des justificatifs produits le 17 janvier 2023 par le recourant que son assurance-vie ASPECTA/YOUPLUS possède effectivement une valeur de rachat, ayant d’ailleurs augmenté au fil du temps, c’est en principe à juste titre que l’intimé en a tenu compte au titre de la fortune dans les plans de calcul de la décision litigieuse. 7. Il reste en revanche à examiner si, comme le fait valoir le recourant, l’intimé aurait trop tardé à faire valoir ses droits. En d’autres termes, il convient de vérifier que les conditions de la restitution réclamée sont réalisées. 7.1 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(anfängliche tatsächliche Unrichtigkeit ; cf.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w:t>
      </w:r>
    </w:p>
    <w:p>
      <w:r>
        <w:t>A/3945/2023 - 11/24 -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w:t>
      </w:r>
    </w:p>
    <w:p>
      <w:r>
        <w:rPr>
          <w:b/>
        </w:rPr>
        <w:t>E. 8</w:t>
      </w:r>
    </w:p>
    <w:p>
      <w:r>
        <w:t>LPC ont droit à des prestations complémentaires. Ont ainsi droit aux prestations complémentaires notamment les personnes qui ont droit à une rente de l’assurance-invalidité (art. 4 al. 1 let. c LPC) ou de l’assurance-vieillesse survivants (art. 4 al. 1 let. a LPC).</w:t>
      </w:r>
    </w:p>
    <w:p>
      <w:r>
        <w:rPr>
          <w:b/>
        </w:rPr>
        <w:t>E. 8.1</w:t>
      </w:r>
    </w:p>
    <w:p>
      <w:r>
        <w:t>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1ère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8.2</w:t>
      </w:r>
    </w:p>
    <w:p>
      <w:r>
        <w:t>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8.3</w:t>
      </w:r>
    </w:p>
    <w:p>
      <w:r>
        <w:t>Le délai de péremption absolu de cinq ans commence à courir à la date du versement effectif de la prestation, et non à la date à laquelle elle aurait dû être fournie (ATF 112 V 180 consid. 4a et les références).</w:t>
      </w:r>
    </w:p>
    <w:p>
      <w:r>
        <w:rPr>
          <w:b/>
        </w:rPr>
        <w:t>E. 8.3.1</w:t>
      </w:r>
    </w:p>
    <w:p>
      <w:r>
        <w:t>Le délai de péremption relatif commence à courir dès le moment où l’administration aurait dû connaître les faits fondant l’obligation de restituer, en faisant preuve de l’attention que l’on pouvait raisonnablement exiger d’elle (ATF 148 V 217 consid. 5.1.1 ; 140 V 521 consid. 2.1; 139 V 6 consid. 4.1 et les références). Cette jurisprudence vise un double but, à savoir obliger</w:t>
      </w:r>
    </w:p>
    <w:p>
      <w:r>
        <w:t>A/3945/2023 - 13/24 -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arrêt du Tribunal fédéral 8C_754/2020 du 11 juin 2021 consid. 5.2).</w:t>
      </w:r>
    </w:p>
    <w:p>
      <w:r>
        <w:rPr>
          <w:b/>
        </w:rPr>
        <w:t>E. 8.3.2</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 lui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Le Tribunal fédéral a déjà eu l’occasion de préciser, dans un cas où l’administration avait fait une erreur lors de l’octroi des prestations</w:t>
      </w:r>
    </w:p>
    <w:p>
      <w:r>
        <w:t>A/3945/2023 - 14/24 -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Lorsque la collaboration de plusieurs autorités chargées de la gestion de l’assurance est nécessaire pour la fixation des prestations ou pour leur restitution, le délai court lorsque l’une des autorités compétentes a connaissance des faits fondant l’obligation de restituer (ATF 140 V 521 consid. 2.1 et les références; ATF 139 V 6 consid. 4.1 et les références). 9.</w:t>
      </w:r>
    </w:p>
    <w:p>
      <w:r>
        <w:t>9.1 En vertu de l’art. 25 al. 2, 2ème phrase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(cf.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w:t>
      </w:r>
    </w:p>
    <w:p>
      <w:r>
        <w:t>A/3945/2023 - 15/24 - des conditions objectives et subjectives de l’infraction (ATF 138 V 74 consid. 6.1 et 7 et les références). 9.2 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d’une peine pécuniaire (al. 1). Dans les cas de peu de gravité, la peine est l’amende (al. 2).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 10. Dans le cas d’espèce, l’intimé a appliqué le délai de sept ans, correspondant au délai de prescription pénale des infractions énoncées aux art. 31 LPC (manquement à l’obligation de communiquer et 148a (obtention illicite de prestations d’une assurance sociale ou de l’aide sociale). 10.1 L’art. 148a CP, entré en vigueur le 1er octobre 2016, punit d’une peine privative de liberté d’un an au plus ou d’une peine pécuniaire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L’art. 148a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w:t>
      </w:r>
    </w:p>
    <w:p>
      <w:r>
        <w:t>A/3945/2023 - 16/24 -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 10.2 L’art. 31 LPC – qui est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(art. 31 al. 1 LPGA) (let. d). L’infraction visée à l’art. 31 al. 1 LPC consiste en l’obtention du paiement de prestations complémentaires par des indications trompeuses. Cette infraction est réalisée lors du premier paiement de la prestation complémentaire. C’est à ce</w:t>
      </w:r>
    </w:p>
    <w:p>
      <w:r>
        <w:t>A/3945/2023 - 17/24 -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avec la faute réalisant l’élément constitutif subjectif d’une infraction pénale à l’origine du versement indu (ATAS/477/2019 du 28 mai 2019 consid. 11d).</w:t>
      </w:r>
    </w:p>
    <w:p>
      <w:r>
        <w:t>A/3945/2023 - 18/24 -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 10.3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ou la modification de la situation personnelle, médicale ou économique ; il n’est en effet plus question alors d’une escroquerie par omission, mais d’une tromperie active (ATF 140 IV 11 consid. 2.4.1 et consid. 2.4.6 in fine ; voir également l’arrêt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w:t>
      </w:r>
    </w:p>
    <w:p>
      <w:r>
        <w:rPr>
          <w:b/>
        </w:rPr>
        <w:t>E. 12</w:t>
      </w:r>
    </w:p>
    <w:p>
      <w:r>
        <w:t>novembre 2014 consid. 5c ; Ueli KIESER, ATSG-Kommentar, 4ème éd. 2020, n. 20 ad art. 17 LPGA). L’administration peut procéder à la reconsidération d’une décision formellement entrée en force de chose décidée, sur laquelle une autorité judiciaire ne s’est pas prononcée quant au fond, pour autant que la décision soit sans nul doute erronée et que sa rectification revête une importance notable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7.2 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7.3 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t>A/3945/2023 - 12/24 - 8.</w:t>
      </w:r>
    </w:p>
    <w:p>
      <w:r>
        <w:rPr>
          <w:b/>
        </w:rPr>
        <w:t>E. 12.1</w:t>
      </w:r>
    </w:p>
    <w:p>
      <w:r>
        <w:t>En l’espèce, l’intimé réclame la restitution de CHF 28’352.30 correspondant à CHF 9’359.- octroyés à titre de PCC, respectivement CHF 18’993.30 à titre de réductions individuelles de primes d’assurance-maladie pour la période du 1er décembre 2017 au 31 décembre 2022. L’intimé ne conteste pas que la police d’assurance ASPECTA a bien été déclarée par le recourant dans le formulaire de demande de PC rempli le 16 février 2018. Il lui reproche en revanche de n’avoir rien indiqué dans la rubrique intitulée « Valeur rachat au 31 décembre », d’avoir annexé à cette demande la police d’assurance précitée, non complétée par les indications relatives à sa valeur de rachat et de n’avoir pas non plus communiqué par la suite les augmentations régulières de cette valeur de rachat. Pour sa part, le recourant relève que sa demande de PC du 16 février 2018 comportait en annexe notamment l’avis de taxation 2016 (pièce 1 intimé) et les avis de taxation 2006 à 2015 (pièce 12 intimé), mentionnant précisément un montant sous la rubrique « valeur de rachat des assurances-vie et vieillesse ». Il en déduit qu’il n’a pas omis de fournir à l’autorité intimée les renseignements requis et qu’il n’a pas cherché à tromper cette dernière en passant sous silence certains faits. Ainsi, en l’absence d’infraction aux art. 31 al. 1 LPC et 148a CP, ce ne serait pas un délai de prescription de sept ans mais, en principe, de cinq ans qui s’appliquerait. Il ajoute qu’une créance en restitution sur une période de cinq ans n’aurait de toute manière pas lieu d’être dans la mesure où il ressortait d’emblée des pièces annexées à la demande que les PC étaient indues, entraînant ainsi la péremption du droit de réclamer la restitution des PC à l’échéance d’un délai d’une année, soit dès le 21 février 2019.</w:t>
      </w:r>
    </w:p>
    <w:p>
      <w:r>
        <w:rPr>
          <w:b/>
        </w:rPr>
        <w:t>E. 12.2</w:t>
      </w:r>
    </w:p>
    <w:p>
      <w:r>
        <w:t>La Cour de céans constate que, sur le plan objectif, les éléments constitutifs des infractions réprimées aux art. 148a CP et 31 al. 1 let. d LPC, toutes deux soumises au délai de prescription de sept ans, sont réalisés. En effet, en ne mentionnant, le 16 février 2018, aucune valeur de rachat en lien avec son assurance-vie ASPECTA, le recourant a fourni des informations incomplètes au SPC, auxquelles les informations moins précises des avis de taxation ne remédient pas. Il a par ailleurs passé sous silence, année après année, les augmentations de la valeur de rachat de cette assurance-vie, manquant ainsi à son obligation de communiquer et confortant de la sorte l’intimé dans son erreur. Ce faisant, il a adopté un comportement lui permettant d’obtenir pour lui-même et les autres bénéficiaires des prestations indues. L’élément subjectif de ces infractions apparaît également réalisé. Compte tenu, d’une part, de la « déclaration sur l’honneur » figurant en tête de la demande, aux termes de laquelle « le-la-requérant-e (ou son représentant) atteste que les indications figurant dans le présent formulaire son complètes et véridiques » et, d’autre part, des indications écrites fournies chaque mois de décembre au</w:t>
      </w:r>
    </w:p>
    <w:p>
      <w:r>
        <w:t>A/3945/2023 - 21/24 - recourant, relatives à son obligation de communiquer tout changement de circonstances, le recourant ne pouvait ignorer l’importance que revêtait la communication de toute information d’ordre économique le concernant. Dans ces conditions, force est d’admettre que le recourant était conscient qu’il retenait des informations qu’il avait l’obligation de transmettre à l’intimé et que ce faisant, il a agi au moins par dol éventuel. C’est donc à bon droit que l’intimé a fait rétroagir ses décisions de restitution du 29 mars 2023 au 1er décembre 2017, étant relevé que les prestations les plus anciennes visées (celles du mois de décembre 2017) ont été perçues moins de sept ans avant le courrier du 17 avril 2023 auquel étaient annexées les décisions de restitution précitées.</w:t>
      </w:r>
    </w:p>
    <w:p>
      <w:r>
        <w:rPr>
          <w:b/>
        </w:rPr>
        <w:t>E. 12.3</w:t>
      </w:r>
    </w:p>
    <w:p>
      <w:r>
        <w:t>Reste à déterminer si l’intimé a réclamé la restitution des prestations indues à temps, le recourant lui reprochant de ne pas l’avoir fait dans un délai d’une année à compter de la réception de la demande. Comme indiqué plus, haut, le délai de péremption relatif commence à courir dès le moment où l’administration a (ou aurait dû avoir) connaissance des faits fondant l’obligation de restituer (cf. ci-dessus : consid. 9.1 et 9.3.1). On rappellera également que lorsque la restitution est imputable à une faute de l’administration, on ne saurait considérer comme point de départ du délai le moment où la faute a été commise, mais bien celui auquel l’administration aurait dû, dans un deuxième temps, reconnaître son erreur (cf. ci-dessus : consid. 9.3.2). Concernant le rapport entre les différentes hypothèses précitées, le Tribunal fédéral a rappelé dans un arrêt du 5 avril 2022, publié aux ATF 148 V 217, qu’au fil du temps, l’évolution jurisprudentielle s’est orientée vers un point de départ du délai de péremption relatif coïncidant avec le moment auquel l’administration aurait dû, dans un deuxième temps, reconnaître son erreur, au point que le principe de la « deuxième chance » (ou « deuxième occasion ») est devenu la règle (cf. ATF 124 V 380 consid. 1 ; 122 V 270 E. 5b/aa ; arrêt du Tribunal fédéral 9C_744/2012 du 15 janvier 2013 consid. 6.3 ; arrêt du Tribunal fédéral des assurances I 308/03 du 22 septembre 2003). Cette évolution s’explique de la manière suivante : en raison de la masse croissante des actes administratifs à accomplir, il est de moins en moins raisonnablement exigible de la part de l’autorité appelée à rendre des décisions que celle-ci vérifie en détail chacune des étapes de la procédure et qu’elle identifie ses erreurs en temps réel (dans le même sens : Michael E. MEIER, Bemerkungen zum Urteil 9C_625/2019 vom 18. Mai 2020 = BGE 146 V 217, SZS 2021 p. 150). Dans ce contexte, il convient de reconnaître un privilège à l’administration, en particulier lorsque le versement indu de prestations peut ou pourrait certes être constaté à la lecture du dossier, mais qu’une demande en restitution requiert préalablement de plus amples éclaircissements au sujet de l’étendue de la créance en restitution ou d’autres aspects pertinents (ATF 148 V 217 consid. 5.2.1 et les arrêts cités).</w:t>
      </w:r>
    </w:p>
    <w:p>
      <w:r>
        <w:t>A/3945/2023 - 22/24 -</w:t>
      </w:r>
    </w:p>
    <w:p>
      <w:r>
        <w:rPr>
          <w:b/>
        </w:rPr>
        <w:t>E. 12.4</w:t>
      </w:r>
    </w:p>
    <w:p>
      <w:r>
        <w:t>En l’occurrence, comme relevé plus haut, les pièces annexées à la demande de PC comportaient les avis de taxation 2006 à 2016, en particulier une rubrique intitulée « Valeur rachat au 31 décembre » mais n’ont pas déclenché, dès la réception de ces documents, des investigations supplémentaires. Dans sa réponse du 15 décembre 2023, l’intimé indique avoir découvert à l’examen des avis de taxation 2017 à 2021, reçus le 1er novembre 2022 (pièce 87 intimé), que ceux-ci mentionnaient une valeur de rachat d’assurance-vie. On peut certes être tenté d’objecter que la même information ressortait déjà des avis de taxation 2006 à 2016 produits en février 2018. Toutefois, eu égard à la relative indulgence dont bénéficie l’administration dans le sens évoqué (cf. ci-dessus : consid. 13.3) et à l’absence de valeur rachat mentionnée non seulement dans la police d’assurance- vie produite, mais aussi dans la demande de PC en lien avec la police d’assurance- vie ASPECTA, on ne saurait considérer que c’est à l’époque de la réception de la demande de PC déjà que l’intimé, en faisant preuve de l’attention raisonnablement exigible, aurait dû se rendre compte que la non-prise en compte de cette valeur de rachat conduirait au versement de prestations indues. Conformément à la jurisprudence, il convient de constater plutôt que dès qu’il a pris conscience, le 1er novembre 2022, de la présence d’indices de l’existence d’une valeur de rachat, l’intimé a poussé ses investigations plus loin en demandant, le même jour, des justificatifs concernant, d’une part, la valeur de rachat de l’assurance-vie ASPECTA au 31 décembre des années 2015 à 2021, d’autre part, la valeur de rachat de l’assurance-vie YOUPLUS « déclaré[e] dans l’exercice fiscal 2021 » au 31 décembre des années 2015 à 2021 (cf. pièce 89 intimé, p. 3). Indépendamment de la durée de ces investigations – qui se sont poursuivies jusqu’à la réception par l’intimé, en mars 2023, du montant des subsides à réclamer, déterminé par le Service de l’assurance-maladie (cf. pièce 102 intimé) –, la Cour de céans constate que, même en faisant partir le dies a quo du délai relatif de péremption le 1er novembre 2022, l’intimé a de toute manière agi en temps utile en adressant au recourant, le 17 avril 2023, les décisions datées du 29 mars 2023.</w:t>
      </w:r>
    </w:p>
    <w:p>
      <w:r>
        <w:rPr>
          <w:b/>
        </w:rPr>
        <w:t>E. 12.5</w:t>
      </w:r>
    </w:p>
    <w:p>
      <w:r>
        <w:t>Il résulte de ce qui précède que le recourant a enfreint les art. 148a CP et 31 al. 1 let. d LPC, à tout le moins par dol éventuel. Étant donné que l’autorité intimée a réclamé la restitution des prestations à temps, elle était également fondée à faire rétroagir ses décisions de restitution au 1er décembre 2017. Ce grief du recourant est donc écarté.</w:t>
      </w:r>
    </w:p>
    <w:p>
      <w:r>
        <w:rPr>
          <w:b/>
        </w:rPr>
        <w:t>E. 13</w:t>
      </w:r>
    </w:p>
    <w:p>
      <w:r>
        <w:t>Il reste à déterminer si l’intimé était fondé à intégrer le revenu hypothétique de l’épouse aux calculs de la décision litigieuse. On rappellera à titre liminaire que l’admissibilité de l’imputation d’un tel revenu – qui avait déjà été contestée par l’intéressé le 31 août 2022 –, a été tranchée en défaveur de l’intéressé dans la décision sur opposition du 4 novembre 2022 entrée en force. Se pose donc la question de savoir si la situation qui prévalait à cette époque a changé.</w:t>
      </w:r>
    </w:p>
    <w:p>
      <w:r>
        <w:t>A/3945/2023 - 23/24 -</w:t>
      </w:r>
    </w:p>
    <w:p>
      <w:r>
        <w:rPr>
          <w:b/>
        </w:rPr>
        <w:t>E. 13.1</w:t>
      </w:r>
    </w:p>
    <w:p>
      <w:r>
        <w:t>Selon l’art. 17 al. 2 LPGA, toute prestation durable accordée en vertu d’une décision entrée en force est, d’office ou sur demande, augmentée ou réduite en conséquence, ou encore supprimée si les circonstances dont dépendait son octroi changement notablement. En vertu de l’art. 25 al. 1 let. c OPC-AVS/AI, la prestation complémentaire annuelle doit être augmentée, réduite ou supprimée lorsque des dépenses reconnues, les revenus déterminants et la fortune subissent une diminution ou une augmentation pour une durée qui sera vraisemblablement longue. Selon la jurisprudence, cette disposition est applicable en matière de révision des prestations complémentaires lors de modifications des circonstances personnelles et économiques (arrêt du Tribunal fédéral 8C_305/2007 du 23 avril 2008 consid. 4 et les références).</w:t>
      </w:r>
    </w:p>
    <w:p>
      <w:r>
        <w:rPr>
          <w:b/>
        </w:rPr>
        <w:t>E. 13.2</w:t>
      </w:r>
    </w:p>
    <w:p>
      <w:r>
        <w:t>En l’occurrence, le recourant n’explique pas en quoi la situation qui prévalait au moment de la décision sur opposition du 4 novembre 2022 aurait changé. En particulier, il ne précise pas quelles modifications notables – qui se seraient produites jusqu’à la décision litigieuse – motiveraient une révision du revenu hypothétique imputé à son épouse. Une telle modification n’étant ainsi pas établie au degré de la vraisemblance prépondérante, la Cour de céans s’en tiendra donc aux montants retenus à titre de revenu hypothétique dans la (deuxième) décision de PC du 29 mars 2023, confirmée sur opposition, recalculant le droit aux PC du 1er janvier au 31 mars 2023, étant relevé que le revenu hypothétique qui y est mentionné repose sur les mêmes bases que dans la décision sur opposition du 4 novembre 2022 (ESS).</w:t>
      </w:r>
    </w:p>
    <w:p>
      <w:r>
        <w:rPr>
          <w:b/>
        </w:rPr>
        <w:t>E. 13.3</w:t>
      </w:r>
    </w:p>
    <w:p>
      <w:r>
        <w:t>Le recourant fait également valoir que cette dernière décision et celles qui l’ont précédé seraient erronées et sujettes à reconsidération (art. 53 al. 2 LPGA). En argumentant de la sorte, le recourant perd toutefois de vue que ni lui, ni la Cour de céans ne peuvent contraindre l’autorité intimée à reconsidérer des décisions formellement passées en force et qu’il n’existe donc aucun droit justiciable en la matière (cf. arrêt du Tribunal fédéral 9C_901/2007 du 8 octobre 2007, consid. 3 non publié à l’ATF 134 V 401). Dans ces conditions, la Cour de céans renoncera, par appréciation anticipée des preuves (ci-dessus : consid. 12.3), à l’audition de l’épouse du recourant et au médecin de ce dernier.</w:t>
      </w:r>
    </w:p>
    <w:p>
      <w:r>
        <w:rPr>
          <w:b/>
        </w:rPr>
        <w:t>E. 13.4</w:t>
      </w:r>
    </w:p>
    <w:p>
      <w:r>
        <w:t>Étant donné que pour le surplus, les autres montants de la décision litigieuse, relatifs au revenu déterminant et aux dépenses reconnues ne sont pas contestés et n’apparaissent pas contestables, la décision litigieuse ne peut qu’être confirmée.</w:t>
      </w:r>
    </w:p>
    <w:p>
      <w:r>
        <w:rPr>
          <w:b/>
        </w:rPr>
        <w:t>E. 14</w:t>
      </w:r>
    </w:p>
    <w:p>
      <w:r>
        <w:t>Compte tenu de ce qui précède, le recours doit être rejeté. Pour le surplus, la procédure est gratuite (art. 61 let. fbis LPGA a contrario).</w:t>
      </w:r>
    </w:p>
    <w:p>
      <w:r>
        <w:t>***</w:t>
      </w:r>
    </w:p>
    <w:p>
      <w:r>
        <w:t>A/3945/2023 - 24/24 -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