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ATAS/735/2010 vom 6. Juli 2010</w:t>
      </w:r>
    </w:p>
    <w:p>
      <w:r>
        <w:t>GE Cour de justice, 2010-07-06, FR</w:t>
      </w:r>
    </w:p>
    <w:p>
      <w:r>
        <w:rPr>
          <w:b/>
        </w:rPr>
        <w:t xml:space="preserve">Quelle: </w:t>
      </w:r>
      <w:r>
        <w:t>https://mcp.opencaselaw.ch/entscheid/ge_gerichte_ATAS_735_2010</w:t>
      </w:r>
    </w:p>
    <w:p>
      <w:r>
        <w:t>FR: GE_GERICHTE ATAS/735/2010 du 6 juillet 2010</w:t>
      </w:r>
    </w:p>
    <w:p>
      <w:r>
        <w:t>IT: GE_GERICHTE ATAS/735/2010 del 6 luglio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rPr>
          <w:b/>
        </w:rPr>
        <w:t>E. 3</w:t>
      </w:r>
    </w:p>
    <w:p>
      <w:r>
        <w:t>Le litige porte sur le droit du recourant à des prestations complémentaires fédérales, en particulier sur la question de savoir s’il se justifie de prendre en compte dans le calcul de ces prestations un montant à titre de gain potentiel de l'épouse, en regard des critères jurisprudentiels, et non pas de l'état de santé du recourant lui-même cette question ayant été tranchée par arrêt du 1er décembre 2009.</w:t>
      </w:r>
    </w:p>
    <w:p>
      <w:r>
        <w:rPr>
          <w:b/>
        </w:rPr>
        <w:t>E. 4</w:t>
      </w:r>
    </w:p>
    <w:p>
      <w:r>
        <w:t>a) Au niveau fédéral, la LPC, entrée en vigueur le 1er janvier 2008 abroge et remplace la LPC du 19 mars 1965 (aLPC). L'ancienne loi est toutefois applicable en l'espèce pour le calcul des prestations dues pour la période antérieure au 1er janvier 2008. Selon celle-ci, ont droit aux prestations les invalides qui ont droit à une demi-rente ou une rente entière de l’AI. Le montant de la prestation complémentaire annuelle correspond alors à la part des dépenses reconnues qui excède les revenus déterminants (art. 3a al. 1 aLPC). (art. 2c let. a a LPC) Aux termes de l’art. 3a al. 4 aLPC, les dépenses reconnues et les revenus déterminants des conjoints faisant ménage commun doivent être additionnés.</w:t>
      </w:r>
    </w:p>
    <w:p>
      <w:r>
        <w:t>Selon l’art. 3c al. 1 aLPC, les revenus déterminants comprennent notamment le produit de la fortune mobilière et immobilière (let. b), un quinzième de la fortune nette, dans la mesure où elle dépasse 40’000 francs pour les couples (let. c), les rentes, pensions et autres prestations périodiques, y compris les rentes de l’AVS et de l’AI (let. d), les allocations familiales (let. f) et les ressources et parts de fortune dont un ayant droit s’est dessaisi (let. g).</w:t>
      </w:r>
    </w:p>
    <w:p>
      <w:r>
        <w:t>Cette dernière disposition (art. 3c al. 1 let. g) ainsi que celle en vigueur depuis le 1er janvier 2008 (art. 11 al. 1 let. g LPC) est directement applicable lorsque le conjoint d'un assuré s'abstient de mettre en valeur sa capacité de gain, alors qu'il</w:t>
      </w:r>
    </w:p>
    <w:p>
      <w:r>
        <w:t>A/1400/2010 - 11/15 - pourrait se voir obligé d'exercer une activité lucrative en vertu de l'art. 163 CC (ATF 117 V 291 s. consid. 3b; VSI 2001 p. 127 s. consid. 1b). b) Au niveau cantonal, l’art. 4 LPCC prévoit qu’ont droit aux prestations les personnes dont le revenu annuel déterminant n’atteint pas le revenu minimum cantonal d’aide sociale applicable.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w:t>
      </w:r>
    </w:p>
    <w:p>
      <w:r>
        <w:t>c) Il appartient à l'administration ou, en cas de recours, au juge des assurances sociales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ATFA du 6 février 2006, cause P49/2004).</w:t>
      </w:r>
    </w:p>
    <w:p>
      <w:r>
        <w:t>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(consid. 2b de l'arrêt VSI 2001 p. 130). En pareilles circonstances, si l'épouse renonce à exercer une activité lucrative exigible de sa part, il y a lieu de prendre en compte un revenu hypothétique après une période dite d'adaptation (consid. 4.2 de l'arrêt T., précité).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w:t>
      </w:r>
    </w:p>
    <w:p>
      <w:r>
        <w:t>A/1400/2010 - 12/15 - 50 ans, qui n’ont pas d’enfants mineurs à charge, seul un revenu minimum étant toutefois réalisable en pareille hypothèse (VSI 2/2001 p. 126 consid. 1c; ATFA non publié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w:t>
      </w:r>
    </w:p>
    <w:p>
      <w:r>
        <w:t>A/1400/2010 - 13/15 -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w:t>
      </w:r>
    </w:p>
    <w:p>
      <w:r>
        <w:rPr>
          <w:b/>
        </w:rPr>
        <w:t>E. 5</w:t>
      </w:r>
    </w:p>
    <w:p>
      <w:r>
        <w:t>Dans le cas d'espèce, le Tribunal ne reviendra pas sur les motifs de l'arrêt du 1er décembre 2009, lequel a écarté l'état de santé du recourant comme étant une raison valable justifiant médicalement la présence de son épouse à domicile, et constituant un empêchement pour toute activité professionnelle de celle-ci. En ce qui concerne les circonstances personnelles de l’épouse du recourant, il y a lieu d’observer que celle-ci n'a pas de formation certifiée au delà de l'école obligatoire suivie dans son pays, car un stage de couturière de 7 mois n'est pas équivalent à un Certificat Fédéral de Capacité. Elle était âgée de 40 ans au moment de la décision litigieuse en juin 2007, elle a travaillé à plein temps en qualité de couturière durant deux ans, puis elle a cessé de travailler en raison de l'accident de son mari. Elle comprend le français et le parle, bien que de façon assez hésitante. Elle a été éloignée du monde du travail durant 6 ans lors de la décision. Ses 4 enfants étaient âgés respectivement de 18 ans, 16 ans, 13 ans et 9 ans en 2007. Elle est en bonne santé et ne fait valoir aucun autre motif que l'état de santé de son mari pour exclure toute possibilité de travailler hors de son domicile, son époux nécessitant une surveillance constante. L'âge des enfants n'est manifestement pas un empêchement de travailler puisque l'épouse de l'assuré avait une activité à plein temps alors que le plus jeune était âgé de 2 ans, étant précisé qu'en 2007, cet enfant avait 9 ans, qu'il pouvait être entouré de son père et de ses frères et sœurs plus âgés à la sortie de l'école et jusqu'au retour de sa mère du travail. L'épouse est jeune, à peine âgée de 40 ans en 2007, l'absence de formation et d'expérience professionnelles, ainsi que l'éloignement du monde du travail durant 6 ans n'excluent pas de trouver un emploi et d'exercer une activité dans le nettoyage, voire dans la couture, étant précisé que le niveau de connaissance de la langue n'est pas plus exigeant dans ce domaine que dans celui de la couture. L'épouse de l'assuré est en bon état de santé et elle n'invoque aucun autre motif inhérent à sa personne justifiant l'impossibilité de travailler. Depuis qu'elle a mis un terme à son activité, elle ne justifie pas avoir cherché en vain un emploi et être empêchée de travailler en raison du marché de l'emploi. Une telle affirmation serait</w:t>
      </w:r>
    </w:p>
    <w:p>
      <w:r>
        <w:t>A/1400/2010 - 14/15 - d'ailleurs contradictoire avec le fait que l'assuré persiste à affirmer que son état de santé constitue un empêchement à toute activité professionnelle de son épouse, qui n'a dès lors pas cherché un emploi. Ainsi, le Tribunal retiendra, au vu de la jurisprudence et de la casuistique susmentionnées, qu'en l'absence de motif réduisant ou excluant toute possibilité d'exercer une activité lucrative pour l'épouse de l'assurée, le SPC était autorisé à tenir compte d'un gain potentiel calculé sur une activité à plein temps dans le nettoyage, à concurrence des deux tiers après déduction de 1'500 fr. Le motif lié à l'état de santé de l'assuré, déjà tranché par arrêt du 1er décembre 2009, ne sera pas examiné à nouveau.</w:t>
      </w:r>
    </w:p>
    <w:p>
      <w:r>
        <w:rPr>
          <w:b/>
        </w:rPr>
        <w:t>E. 6</w:t>
      </w:r>
    </w:p>
    <w:p>
      <w:r>
        <w:t>Le recours est donc rejeté.</w:t>
      </w:r>
    </w:p>
    <w:p>
      <w:r>
        <w:t>A/1400/2010 - 15/15 -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