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ATAS/734/2021 vom 29. Juni 2021</w:t>
      </w:r>
    </w:p>
    <w:p>
      <w:r>
        <w:t>GE Cour de justice, 2021-06-29, FR</w:t>
      </w:r>
    </w:p>
    <w:p>
      <w:r>
        <w:rPr>
          <w:b/>
        </w:rPr>
        <w:t xml:space="preserve">Quelle: </w:t>
      </w:r>
      <w:r>
        <w:t>https://mcp.opencaselaw.ch/entscheid/ge_gerichte_ATAS_734_2021</w:t>
      </w:r>
    </w:p>
    <w:p>
      <w:r>
        <w:t>FR: GE_GERICHTE ATAS/734/2021 du 29 juin 2021</w:t>
      </w:r>
    </w:p>
    <w:p>
      <w:r>
        <w:t>IT: GE_GERICHTE ATAS/734/2021 del 29 giugno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prescrits par la loi, compte tenu de la suspension des délais légaux ou délais fixés par les autorités ou par les tribunaux entre le 21 mars 2020 et le 19 avril 2020 par l’Ordonnance du Conseil fédéral sur la suspension des délais dans les procédures civiles et administratives pour assurer le maintien de la justice en lien avec le Coronavirus du 20 mars 2020 (COVID-19 - RS 818.101.24), le recours est recevable (art. 38 al. 4 let c et 60 LPGA ; art. 89B de la loi sur la procédure administrative du 12 septembre 1985 - [LPA-GE - E 5 10]).</w:t>
      </w:r>
    </w:p>
    <w:p>
      <w:r>
        <w:rPr>
          <w:b/>
        </w:rPr>
        <w:t>E. 3</w:t>
      </w:r>
    </w:p>
    <w:p>
      <w:r>
        <w:t>Le litige porte sur la prise en charge par l’intimée des coûts liés à un fraisage angulo-mandibulaire. C’est le lieu de préciser que l’intimée a accepté d’assumer le coût du traitement hormonal et de plusieurs interventions chirurgicales (réassignation sexuelle, augmentation mammaire et rhinoplastie). Le refus de prendre en charge les injections de toxine botulique au niveau des masséters n’a pas fait l’objet d’un recours et est entré en force. Il en va de même du refus de prise en charge d’une intervention au niveau orbitaire. Quant aux frais afférents à la transplantation de cheveux au niveau fronto-temporal, le Tribunal fédéral a confirmé leur prise en charge par l’intimée dans son arrêt du 29 septembre 2020 (9C_331/2020).</w:t>
      </w:r>
    </w:p>
    <w:p>
      <w:r>
        <w:rPr>
          <w:b/>
        </w:rPr>
        <w:t>E. 4</w:t>
      </w:r>
    </w:p>
    <w:p>
      <w:r>
        <w:t>L’assurance-maladie sociale alloue des prestations en cas de maladie (art. 1a al. 2 let. a LAMal).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w:t>
      </w:r>
    </w:p>
    <w:p>
      <w:r>
        <w:t>A/1331/2020 - 10/19 -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w:t>
      </w:r>
    </w:p>
    <w:p>
      <w:r>
        <w:t>A/1331/2020 - 14/19 - divergente des conclusions de ce dernier par le juge ou, au besoin, une instruction complémentaire sous la forme d’une nouvelle expertise médicale (ATF 125 V 351 consid. 3b/aa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partie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w:t>
      </w:r>
    </w:p>
    <w:p>
      <w:r>
        <w:t>A/1331/2020 - 15/19 -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de l’assurance-invalidité du canton de Genève (ci-après : 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Devant la chambre de céans, la recourante reproche à l’intimée d’avoir refusé de prendre en charge l’intervention de fraisage angulo-mandibulaire avec résection destinée à féminiser ses angles mandibulaires qu’elle qualifie de « carrés et masculins ». L’intimée conteste pour sa part la qualification de caractère sexuel secondaire de la mâchoire. En l’espèce, le diagnostic de dysphorie de genre ou transsexualisme (F 64.0) n’est pas contesté. Ainsi, selon la jurisprudence précitée, les interventions complémentaires destinées à modifier les caractères sexuels secondaires font partie, en principe, des prestations obligatoires à la charge de l’assurance obligatoire des soins. Il convient donc de déterminer si, dans le contexte d’une dysphorie de genre, la mâchoire constitue un caractère sexuel secondaire. En l’occurrence, le Tribunal fédéral n’a jamais eu à trancher cette question. Se fondant sur la doctrine médicale, il a toutefois relevé que les caractères sexuels secondaires apparaissaient à la puberté, tels que la pilosité du visage, la mue de la voix ou l’augmentation du volume musculaire pour les hommes et le développement de la poitrine ou</w:t>
      </w:r>
    </w:p>
    <w:p>
      <w:r>
        <w:t>A/1331/2020 - 16/19 - l’apparition des cycles menstruels chez les femmes (cf. supra consid. 5). A priori, la mâchoire, qui est un attribut physique relevant de la structure osseuse, n’entre pas dans ce cas de figure. À cela s’ajoute qu’un tel attribut n’est pas cité par la doctrine médicale parmi les caractères sexuels secondaires reconnus sur le plan médical (cf. Dictionnaire médical Pschyrembel Online, sous www.pschyrembel.de, ad Geschlechtsmerkmale, cité par le Tribunal fédéral dans l’arrêt 9C_331/2020 consid. 5.2.2). Il convient donc de retenir qu’une mâchoire ne saurait être qualifiée de caractère sexuel secondaire. La question se pose donc de savoir si une « large mâchoire », telle que décrite par la recourante, peut être assimilée à un caractère sexuel secondaire, au même titre qu’une calvitie d’une ampleur typiquement masculine. En pareille hypothèse, la prise en charge des coûts entrerait alors en considération pour une prestation qui ne constitue pas en soi une mesure à la charge de l’assurance obligatoire des soins. Cette question implique de se demander si un tel attribut du visage participe en principe à l’apparence féminine ou masculine d’un individu et si la mâchoire présentée par la recourante est compatible avec une apparence féminine. En l’occurrence, il n’est pas d’emblée évident de déterminer si la mâchoire joue un rôle important du point de vue esthétique en tant qu’elle participe à l’apparence féminine ou masculine d’un individu. Se fondant sur un arrêt de la chambre de céans du 22 mai 2018 portant sur la prise en charge d’une intervention de chirurgie faciale de correction par rabotage des arcades sourcilières dans le cadre d’une dysphorie de genre (ATAS/423/2018), la recourante fait valoir que certaines composantes du visage, dont les caractéristiques morphologiques sont d’une façon générale différentes entre hommes et femmes, doivent se voir reconnaître la qualification de caractère sexuel secondaire. Dans cet arrêt, la chambre de céans avait admis que l’arcade oculaire devait être qualifiée de caractère sexuel secondaire, de sorte que l’intervention de correction des arcades devait être prise en charge par l’assurance-maladie, à condition qu’elle réponde aux critères de l’efficacité, du caractère approprié et de l’économicité au sens de l’art. 32 al. 1 LAMal. Citant le Traité d’anthropologie médico-légale, la chambre de céans a relevé en particulier que les arcades sourcilières étaient en général plus marquées sur un crâne masculin, constituant ainsi un signe important pour différencier les deux sexes (consid. 8c ; Gérald QUATREHOMME, Traité d’anthropologie médico-légale, de Boeck, 2015, p. 222-227). D’après la recourante, il en va de même des mâchoires. Elle cite, en cela, les passages du traité, selon lesquels la branche mandibulaire est plus large chez l’homme et le corps mandibulaire plus épais (ibid, p. 225). Sur un crâne masculin, les branches mandibulaires sont plus larges, les angles mandibulaires plus obtus et la mandibule plus robuste (ibid, p. 226), alors que sur un crâne féminin, les branches mandibulaires sont plus étroites, les angles mandibulaires plus discrets et la mandibule est gracile (ibid, p. 227). De manière générale, le crâne masculin peut également être caractérisé par des zones d’insertions musculaires plus marquées, ou encore le caractère massif des</w:t>
      </w:r>
    </w:p>
    <w:p>
      <w:r>
        <w:t>A/1331/2020 - 17/19 - condyles occipitaux ou encore le caractère globalement plus massif de la mandibule (ibid, p. 222-227). Sur la base de ces éléments, on pourrait certes admettre qu’un corps mandibulaire épais constitue une particularité physique présente avant tout chez les hommes. Il convient toutefois de s’imposer une certaine retenue, au vu du caractère technique de la matière. Le traité retient en effet que si la robustesse générale de la mandibule, de même que l’épaisseur du corps mandibulaire, sont de bons indicateurs de sexe, l’angle mandibulaire ne montre pas de différence significative entre les deux sexes. Ce critère serait donc un très mauvais indicateur de sexe, ceci d’autant plus que l’angle mandibulaire varie fortement avec l’âge (ibid., p. 249-251). À cela s’ajoute que, selon le traité, il existe des « crânes intermédiaires » où il est très difficile de se prononcer en faveur d’un sujet de sexe masculin ou féminin, ainsi que des « crânes trompeurs » qui sont classés de manière erronée (ibid., p. 223). Dans ces conditions, la question de savoir si un corps mandibulaire, même épais, peut être considéré comme incompatible avec une apparence féminine, à l’instar d’une perte de cheveux d’une ampleur typiquement masculine, ne s’impose pas à l’évidence. Contrairement à ce que semble soutenir la recourante, le fait que les standards de soins de l’Association professionnelle mondiale pour la santé des personnes transgenres mentionnent la chirurgie de féminisation faciale parmi les procédures chirurgicales pour le traitement des patients présentant une dysphorie de genre, à l’instar notamment de la liposuccion, du remodelage et de diverses procédures esthétiques (disponibles sur le lien suivant : https://www.wpath.org/media/cms/Documents/SOC%20v7/SOC%20V7_ French.pdf), ne suffit pas à retenir que ces traitements doivent, dans tous les cas, être à la charge de l’assurance obligatoire des soins. Si on ne saurait minimiser l’efficacité de ces interventions à réduire la souffrance induite par la dysphorie de genre, leur prise en charge par l’assurance de base implique que le trait du visage qu’elles visent à modifier peut être assimilé à un caractère sexuel secondaire. La question peut, quoi qu’il en soit, rester ouverte. Il ne ressort en effet pas du dossier que la mâchoire présentée par la recourante serait, in casu, incompatible avec une apparence féminine. Les spécialistes ayant examiné la recourante, en particulier la Dresse L______ et le psychologue M. H______ mettent l’accent sur la perception de leur patiente quant à la « taille de [s]a mâchoire », que l’assurée décrit de « large » et de « non congruente » avec son genre. Le Dr F______ relève pour sa part que l’assurée présente « des contours de la mâchoire plutôt carrés », qui, avec la calvitie temporale, donne à son visage « des traits masculins encore assez marqués ». Questionné par la chambre de céans, le Dr F______, suivant en cela les avis des Drs E______ et N______, a relevé que la morphologie de la mâchoire n’était pas formellement incompatible avec une apparence féminine. L’ampleur typiquement masculine était évaluée à 6 ou 7 par ces trois médecins, le Dr N______ayant précisé que la partie masculine du visage était le nez. Le Dr M______ a également retenu, sur la base des photographies versées au dossier, que la mâchoire n’était pas incompatible avec une apparence féminine. Dans ces conditions, l’avis contraire du Dr J______ (cf. réponses aux</w:t>
      </w:r>
    </w:p>
    <w:p>
      <w:r>
        <w:t>A/1331/2020 - 18/19 - questions de la chambre de céans du 20 mai 2021), non motivé, ne permet pas de s’écarter de l’appréciation des autres médecins. Dans son courrier à l’assurance du 27 mars 2019, ce médecin avait d’ailleurs signalé la présence d’angles marqués aboutissant à un « visage plutôt carré et masculin ». Or, une telle description ne permet pas encore de retenir que la mâchoire de la recourante est incompatible avec une apparence féminine. Le fait que la recourante perçoit sa mâchoire comme étant large et typiquement masculine n’est à cet égard pas déterminant. En effet, la question de savoir si l’intervention répond à l’objectif thérapeutique recherché, consistant à réduire la détresse cliniquement significative liée aux difficultés d’ordre somatique et psychique rencontrées lors d’une réassignation sexuelle, vise à déterminer si l’intervention envisagée répond aux critères d’efficacité et d’adéquation. Or, ces questions ne se posent que dans l’hypothèse où le traitement est destiné à modifier un caractère sexuel secondaire ou un attribut qui peut y être assimilé, ce qui n’est pas le cas en l’occurrence. Il suit de là que la mâchoire ne saurait être qualifiée de caractère sexuel secondaire, ni y être assimilée. Partant, le traitement visant à remédier à son aspect physique, soit le fraisage angulo-mandibulaire associé à une résection de l’angle mandibulaire, n’est pas à la charge de l’assurance obligatoire des soins. Cette conclusion scelle le sort du litige, sans qu’il ne soit nécessaire d’examiner si la mesure fait partie d’un programme thérapeutique global établi en fonction de tous les éléments recueillis et si elle peut être considérée comme efficace, appropriée et économique.</w:t>
      </w:r>
    </w:p>
    <w:p>
      <w:r>
        <w:rPr>
          <w:b/>
        </w:rPr>
        <w:t>E. 8</w:t>
      </w:r>
    </w:p>
    <w:p>
      <w:r>
        <w:t>Mal fondé, le recours est rejeté. Les assureurs sociaux qui obtiennent gain de cause devant une juridiction de première instance n'ont en principe pas le droit à une indemnité de dépens (ATF 126 V 149 consid. 4). Pour le reste, la procédure est gratuite (art. 61 let. a LPGA, dans sa version – applicable en l’occurrence – jusqu’au 31 décembre 2020). * * * * * *</w:t>
      </w:r>
    </w:p>
    <w:p>
      <w:r>
        <w:t>A/1331/2020 - 19/19 -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