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ATAS/734/2019 vom 19. August 2019</w:t>
      </w:r>
    </w:p>
    <w:p>
      <w:r>
        <w:t>GE Cour de justice, 2019-08-19, FR</w:t>
      </w:r>
    </w:p>
    <w:p>
      <w:r>
        <w:rPr>
          <w:b/>
        </w:rPr>
        <w:t xml:space="preserve">Quelle: </w:t>
      </w:r>
      <w:r>
        <w:t>https://mcp.opencaselaw.ch/entscheid/ge_gerichte_ATAS_734_2019</w:t>
      </w:r>
    </w:p>
    <w:p>
      <w:r>
        <w:t>FR: GE_GERICHTE ATAS/734/2019 du 19 août 2019</w:t>
      </w:r>
    </w:p>
    <w:p>
      <w:r>
        <w:t>IT: GE_GERICHTE ATAS/734/2019 del 19 agosto 2019</w:t>
      </w:r>
    </w:p>
    <w:p>
      <w:pPr>
        <w:pStyle w:val="Heading2"/>
      </w:pPr>
      <w:r>
        <w:t>Erwägungen</w:t>
      </w:r>
    </w:p>
    <w:p>
      <w:r>
        <w:rPr>
          <w:b/>
        </w:rPr>
        <w:t>E. 31</w:t>
      </w:r>
    </w:p>
    <w:p>
      <w:r>
        <w:t>janvier 2008 consid. 5 ; arrêt du Tribunal fédéral des assurances U 162/06 du 10 avril 2007 consid. 5.2.1). Ces règles sont également applicables lorsqu'une des lésions figurant sur la liste de l'art. 9 al. 2 aOLAA est survenue lors d'un événement répondant à la définition de l'accident au sens de l'art. 6 al. 1 LAA. En effet, si l'influence d'un facteur extérieur, soudain et involontaire suffit pour ouvrir droit à des prestations de l'assureur- accidents pour les suites d'une lésion corporelle mentionnée à l'art. 9 al. 2 aOLAA,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w:t>
      </w:r>
    </w:p>
    <w:p>
      <w:r>
        <w:t>A/1157/2018 - 22/31 - a lieu de conclure à une lésion exclusivement maladive ou dégénérative (arrêts du Tribunal fédéral 8C_347/2013 consid. 3.2 et 8C_357/2007consid. 3.2). c/bb. En matière de lésions corporelles assimilées à un accident, la Commission ad hoc sinistres LAA indique que si le tableau clinique peut être défini avec plusieurs diagnostics, l’assureur-accidents n’est tenu de verser des prestations que si la lésion de la liste représente le constat principal (arrêt du Tribunal fédéral des assurances du 20 août 1997 consid. 2b; ATF 116 V 152, consid. 4d). Les constats accessoires s’ajoutant à la lésion de la liste qui sont devenus symptomatiques du fait de l’événement assimilé à un accident doivent également être pris en charge. En revanche, s'il s'agit de deux tableaux de douleurs distincts ou plus, les art. 36 LAA et 64 al. 3 et 4 de la LPGA n’entrent pas en ligne de compte. En outre, il suffit qu’une lésion de la liste ait été uniquement déclenchée ou aggravée par un événement assimilé à un accident, alors qu'elle était au départ strictement due à un phénomène dégénératif ou à la maladie. Avec la preuve de l’événement assimilé à un accident, la causalité naturelle (partielle) est également considérée comme étant établie. Une contre-preuve selon laquelle l’atteinte à la santé, d’après le constat médical, serait de nature purement dégénérative ou uniquement due à la maladie n’est pas admissible. L’obligation de l’assureur-accidents de verser des prestations n’existe que tant que les douleurs constituent encore une conséquence de l’événement assimilé à un accident et que le statu quo sine ou ante n’est donc pas atteint (cf. Recommandation n° 2/86 de la Commission ad hoc sinistres LAA, Lésions corporelles assimilées à un accident [LCAA], révision du 20 mars 2012, ch. 3 ; Patrick THOMANN in Sabine STEIGER-SACKMANN/ Hans-Jakob MOSIMANN [éd.], Handbücher für die Anwaltspraxis, vol. XI, Recht der Sozialen Sicherheit, p. 581 n. 16.50). 8.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9. a. En vertu de l'art. 16 al. 1 LAA, l'assuré totalement ou partiellement incapable de travailler (art. 6 LPGA) à la suite d'un accident a droit à une indemnité journalière. Le droit au versement de telles indemnités suppose en outre, cumulativement, l'existence d'un rapport de causalité naturelle (ATF 119 V 337 consid. 1, 118 V 289 consid. 1b et les références) et d'un rapport de causalité adéquate (ATF 123 V 103</w:t>
      </w:r>
    </w:p>
    <w:p>
      <w:r>
        <w:t>A/1157/2018 - 23/31 - consid. 3d, 139 consid. 3c, 122 V 416 consid. 2a et les références) entre l'atteinte à la santé et l'événement assuré. b. Selon la jurisprudence, en cas d’incapacité de travail de longue durée dans l’ancienne profession, il convient de tenir compte de la capacité de travail exigible dans une autre profession ou dans un autre domaine d’activité. Si la personne assurée doit entreprendre de changer de profession en vertu de son devoir de diminuer le dommage, l’assureur doit requérir de celle-ci qu’elle le fasse et doit lui octroyer un délai de transition approprié, pour s’adapter au changement de circonstances, et en particulier pour rechercher un emploi, délai dans lequel l’assureur doit continuer à lui verser les indemnités journalières. Le délai de transition est en principe de trois à cinq mois (arrêts du Tribunal fédéral 8C_926/2008 du 30 juillet 2009 consid. 7.1 et 8C_173/2008 du 20 août 2008 consid. 2.3 et les références). D’après la doctrine, ce délai paraît trop court dans le système de prestations de l’assurance-accidents, où l’indemnité journalière est souvent amenée à être remplacée par une rente. En effet, le droit à l’indemnité journalière s’éteint (notamment) au moment de la naissance du droit à une rente, naissance qui est elle-même subordonnée à la condition que l’état de santé de la personne assurée se soit stabilisé. Or, on ne saurait guère exiger de celle-ci qu’elle change de profession avant que son état de santé ne soit stable (Jean-Maurice FRESARD/ Margrit MOSER-SZELESS, L’assurance-accidents obligatoire in Meyer (éd.), Schweizerisches Bundesverwaltungsrecht, vol. XIV, Soziale Sicherheit, 3ème éd. 2016, p. 973, n. 214). 10. Selon l’art. 9 LAA,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(al. 1). Sont aussi réputées maladies professionnelles les autres maladies dont il est prouvé qu'elles ont été causées exclusivement ou de manière nettement prépondérante par l'exercice de l'activité professionnelle (al. 2). Sauf disposition contraire, la maladie professionnelle est assimilée à un accident professionnel dès le jour où elle s'est déclarée. Une maladie professionnelle est réputée déclarée dès que la personne atteinte doit se soumettre pour la première fois à un traitement médical ou est incapable de travailler (art. 6 LPGA ; al. 3). L’annexe 1 de l’OLAA énumère les substances nocives et les maladies dues à certains travaux. 11.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t>A/1157/2018 - 24/31 -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w:t>
      </w:r>
    </w:p>
    <w:p>
      <w:r>
        <w:t>A/1157/2018 - 25/31 - 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12. 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w:t>
      </w:r>
    </w:p>
    <w:p>
      <w:r>
        <w:t>A/1157/2018 - 26/31 - 13.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14. En l’espèce, la chambre de céans, dans son ordonnance d’expertise, a considéré ce qui suit : Il est constant qu’en raison d’une chute survenue le 5 janvier 2014 lors d’un match de football, le recourant a subi une atteinte tant à l’épaule droite qu’au coude droit, dont la relation de causalité avec cet accident a été admise par l’intimée lors des rechutes du 2 février 2015 et du 10 juin 2016, justifiant ainsi la prise en charge du traitement médical de ces deux atteintes ainsi que l’incapacité de travail (variable) du recourant jusqu’au 25 octobre 2017, date à laquelle, de l’avis de l’intimée, les troubles résiduels ne découlaient plus des suites de l’accident du 5 janvier 2014 mais étaient de nature maladive. Faisant sienne l’appréciation du 23 octobre 2017 du Dr F_____ pour l’épaule droite, l’intimée fait valoir en substance qu’une IRM effectuée le 24 avril 2014, mettait déjà en évidence un état maladif antérieur à l’accident, prenant la forme d’une arthrose acromio-claviculaire importante puis d’un conflit sous-acromial et enfin d’une tendinopathie avec signes de rupture nécessitant une révision de la coiffe des rotateurs et une excision de la clavicule distale. En conséquence, la pathologie dégénérative qui existait déjà au moment de l’accident du 5 juin 2014 était désormais la cause des douleurs et de l’intervention chirurgicale pratiquée le 19 décembre 2017. Quant aux troubles de l’épaule droite en relation de causalité avec l’accident, le statu quo sine avait été atteint au plus tard trois mois après l’accident, compte tenu du mécanisme de l’événement (chute sans énergie cinétique élevée). Cette appréciation ne convainc pas pour plusieurs raisons. Premièrement, le Dr F_____ ne se réfère pas à la description de l’événement par l’assuré le 19 mai 2014 : « Nous jouions sur du gazon synthétique et alors que le terrain était mouillé, en courant j’ai glissé du pied droit. Malheureusement, mon pied est arrivé ensuite</w:t>
      </w:r>
    </w:p>
    <w:p>
      <w:r>
        <w:t>A/1157/2018 - 27/31 - sur une zone sèche et il a été bloqué d’un seul coup. J’ai perdu l’équilibre et je suis tombé sur le coude droit puis sur l’épaule droite » (cf. dossier intimée, pce 45). Or, en appréciant ces mêmes faits, le rapport du 20 octobre 2017 du Prof. H_____ évoque une « violente chute lors d’un jeu de football », mettant en doute l’absence d’énergie cinétique élevée. En second lieu, le Dr F_____ n’explique pas, dans son rapport du 23 octobre 2017, pourquoi il avait considéré, dans ses appréciations antérieures, toutes postérieures de plus de trois mois à l’accident, que l’incapacité de travail était toujours justifiée pour les seules suites de l’accident (rapport du 31 juillet 2014), que le lien de causalité entre la tendinite de la coiffe des rotateurs et l’accident du 5 janvier 2014 lui paraissait probable (rapport du 2 novembre 2014) et que les troubles mentionnés par le Dr E_____ en juillet 2016 (soit après la seconde rechute) présentaient un lien de causalité pour le moins probable avec l’accident du 5 janvier 2014 (rapport du 18 juillet 2016). Or, si le Dr F_____ était d’avis, le 2 novembre 2014, que la tendinite de la coiffe des rotateurs était probablement due à l’accident, c’était notamment en connaissance des IRM des 24 avril et 24 septembre 2014. Dans ces circonstances, le fait de se focaliser, les 23 octobre 2017 et 14 février 2018, sur les seuls remaniements dégénératifs objectivés par ces mêmes IRM convainc d’autant moins que le Dr F_____ semble ne pas s’être procuré l’IRM du 30 janvier 2017 – elle ne figure en tout cas pas au dossier versé à la procédure – sur laquelle le Prof. H_____ se fonde le 20 octobre 2017 pour retenir qu’il existe une indication à une révision chirurgicale de la coiffe des rotateurs. S’agissant de l’atteinte au coude droit, l’appréciation du 1er septembre 2017 du Dr F_____ ne convainc guère non plus en tant qu’elle retient que la présence d’un kyste arthrosynovial, objectivée à l’IRM du 8 juin 2017, indiquerait la présence d’une atteinte dégénérative. En effet, quoi qu’en dise l’intimée, le Dr J_____ ne se contente pas de développer un raisonnement « post hoc ergo propter hoc » dans son rapport du 31 octobre 2017, il explique que la présence du kyste arthrosynovial s’inscrit dans l’évolution du coude depuis l’accident, celle-ci étant notamment marquée par un épanchement articulaire qui constituerait, selon lui, la cause de ce kyste. Le Dr F_____ ne prend cependant pas position au sujet de cette relation de cause à effet expliquée par son confrère, ce qui rend ses appréciations du 1er septembre 2017 et 14 février 2018 d’autant plus lacunaires qu’en date du 31 mars 2015, une IRM du coude « gauche » (recte : droit) objectivait déjà la présence d’une lame d’épanchement intra-articulaire. Or, à cette époque, soit le 8 mai 2015 – et même après la rechute du 10 juin 2016 –, le Dr F_____ était lui-même d’avis que l’enthésopathie des épicondyliens était en relation de causalité pour le moins probable avec l’accident du 5 janvier 2014. Compte tenu de ce qui précède, la fin des prestations d’assurance au 25 octobre 2017 se fonde sur des appréciations médicales dépourvues de valeur probante. La chambre de céans ne peut pas non plus se fonder sur les rapports des médecins traitants, insuffisamment motivés. À cet égard, le rapport du 20 octobre 2017 du Prof. H_____ repose principalement sur un raisonnement « post hoc ergo propter</w:t>
      </w:r>
    </w:p>
    <w:p>
      <w:r>
        <w:t>A/1157/2018 - 28/31 - hoc ». Quant à l’appréciation du 31 octobre 2017 du Dr J_____, elle demeure trop succincte sur l’étiologie du kyste arthrosynovial. En l’état actuel de l’instruction du cas, la chambre de céans n’est donc pas en mesure de se prononcer sur la survenance du « statu quo sine » à la date retenue par l’intimée. Aussi s’impose-t-il de mettre en œuvre une expertise. 15. a. Fondé sur trois entretiens avec le recourant, une analyse des documents médicaux du dossier, des radiographies et un scanner récents de l’épaule droite requis par l’expert, comprenant les plaintes du recourant, des diagnostics clairs ainsi qu’une explication étayée du lien de causalité entre les diagnostics posés et l’accident, le rapport d’expertise judiciaire répond aux réquisits jurisprudentiel précités pour qu’il lui soit reconnu une pleine valeur probante. A cet égard, il y a lieu de préciser que, comme relevé par l’intimé, le fait que l’expert ait indiqué au titre de lésion corporelle assimilée à un accident (art. 9 al. 2 aOLAA) les diagnostics de contusion de la coiffe des rotateurs avec conflit sous- acromial transitoire et capsulite rétractile et contusion et développement d’une épicondylite post-traumatique du coude droit, qui ne relèvent pas de cette catégorie, n’a pas d’incidence sur les conclusions de l’expertise, lesquelles restent entièrement probantes. b. L’intimée se rallie aux conclusions de l’expertise judiciaire ; quant au recourant, il estime qu’elle n’est pas probante. Toutefois, les critiques émises par celui-ci ne sont pas à même d’en remettre en cause la valeur probante. 16. a. Tout d’abord, le recourant souligne le fait que l’expert mentionne de façon erronée la présence d’une tendinite en lieu et place d’une déchirure du tendon. A cet égard, l’expert a motivé de façon détaillée, en procédant à l’analyse de toutes les images radiologiques, que le tendon du sus-épineux de l’épaule droite était globalement intact et qu’il n’y avait pas vraiment de déchirure de ce tendon (les deux examens de l'épaule droite qui décrivaient une atteinte / déchirure partielle du tendon du sus-épineux, notamment l'IRM du 1er septembre 2014 et l'arthro-IRM de l'épaule droite du 23 juin 2017, ne démontraient une lésion compatible avec une déchirure partielle que sur une seule coupe dans le plan coronal de ces examens respectifs. En plus de cela, lors de l'intervention du 19 décembre 2017, au niveau de cette épaule droite, aucune lésion de ce tendon du sus-épineux au niveau de son côté articulaire ou au niveau de son côté bursal n'avait été décrite et aucune sanction thérapeutique ou chirurgie réparatrice au niveau de ce tendon n'avait été effectuée (expertise judiciaire p. 9). Selon l’expert, on pouvait conclure que, au niveau du tendon du sus-épineux il y avait eu une irritation / tendinopathie post- traumatique transitoire, probablement accompagnée par une capsulite post- traumatique d'accompagnement comme cela se voyait souvent lors de ce type de trauma (voir examen clinique du 26 octobre 2015 par le Dr H_____), le tout s'étant progressivement résorbé dans les longs mois qui avaient suivi cet accident du 5 janvier 2014. Il avait subsisté un conflit sous-acromial dû à l'hypertrophie et à</w:t>
      </w:r>
    </w:p>
    <w:p>
      <w:r>
        <w:t>A/1157/2018 - 29/31 - l'exostose sous-acromiale due à cette arthrose acromio-claviculaire, conflit sous- acromial qui avait été levé et adressé par l'intervention du 19 décembre 2017 ; par contre il avait subsisté un conflit mécanique / souffrance acromio-claviculaire droit (expertise judiciaire p. 9). La critique du recourant à l’égard de l’expertise judiciaire, en tant qu’elle exclut une déchirure du tendon, ne peut ainsi qu’être rejetée. b. Ensuite, le recourant estime que les conditions de prise en charge d’une lésion assimilée à un accident sont remplies. Comme exposé ci-avant, le recourant ne présente toutefois pas de telles lésions. c. Enfin, le recourant estime qu’il est victime d’une maladie professionnelle que l’intimée droit prendre en charge par l’apparition d’un kyste arthro-synovial dû aux contraintes répétitives au niveau de son coude droit. Certes, l’expert relève à cet égard que les insertionites chroniques du tendon du triceps sur l'olécrane avec calcification / ossification au site d'insertion et, dans une moindre mesure, les tendons fléchisseurs au niveau de l'épicondylite interne de ce coude droit, peuvent parfois être à l'origine de douleurs mais surtout témoignent d'un passé impliquant des charges et des contractures de ces groupes musculaires et tendineux contre- résistance à répétition et d'une manière prolongée. Ces stigmates d'une surcharge chronique de l'articulation concernée permettent de mieux comprendre l'apparition éventuelle d'une dégénérescence de l'articulation sous-jacente et l'apparition de kystes (Ganglion cysts ; expertise judiciaire p. 11). Le kyste était la manifestation d’une atteinte dégénérative du coude droit, ce qui se comprenait aisément vu l’activité de sertisseur du recourant, exercée pendant de longues années avec des contraintes répétitives au niveau du coude droit (expertise judiciaire p. 14). L’expert évoque ainsi une origine du kyste due à une surcharge chronique de l’articulation concernée en lien avec la profession du recourant. Le recourant ne prétend toutefois pas que cette affection serait due à des travaux relevant de l’annexe 1 de l’OLAA. Par ailleurs, cette constatation de l’expert ne permet pas non plus, en l’état, de confirmer que le kyste en cause aurait été causé exclusivement ou de manière nettement prépondérante par l’exercice de l’activité professionnelle (art. 9 al. 2 LAA). En toute hypothèse, cette question outrepasse l’objet du présent litige, limité à la question de savoir si les affections présentées par le recourant sont, au- delà du 25 octobre 2017, en lien de causalité naturelle et adéquat avec l’accident du 5 janvier 2014. 17. Au vu de ce qui précède, les conclusions de l’expertise judiciaire peuvent être confirmées, soit que le recourant a présenté, suite à l’accident, les diagnostics décrits par l’expert (expertise p. 8) et qu’à partir du 11 janvier 2016, le statu quo ante a été atteint, de sorte que dès cette date, seuls les facteurs étrangers à l’accident influent sur l’état de santé du recourant ; en particulier, les atteintes ayant justifié l’intervention du 19 décembre 2017 ne sont pas dues à l’accident, mais à une pathologie préexistante à celui-ci.</w:t>
      </w:r>
    </w:p>
    <w:p>
      <w:r>
        <w:t>A/1157/2018 - 30/31 - En conséquence, la décision de l’intimée mettant fin à ses prestations au 25 octobre 2017, ne peut qu’être confirmée. 18. Le recourant prétend encore à la mise en œuvre, par l’intimée, de mesures de réadaptation professionnelle. Outre que ces mesures relèvent du domaine de l’assurance-invalidité, il a été constaté, dans le rapport d’expertise judiciaire, que les affections du recourant et donc ses conséquences sur l’exercice de son activité professionnelle habituelle, relèvent, dès le 11 janvier 2016, d’un état maladif et ne sont plus à la charge de l’intimée. 19. Le droit d'être entendu garanti constitutionnellement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133 I 270 consid. 3.1 p. 277; 124 II 132 consid. 2b p. 137 et la jurisprudence citée).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p. 429 ; arrêt du Tribunal fédéral 9C 191/2008 du 24 novembre 2008). En l’occurrence, il sera renoncé, par appréciation anticipée des preuves, à l’audition requise par le recourant des Drs N____, J_____ et H_____, le rapport d’expertise judiciaire, probant, permettant à la chambre de céans de se prononcer en toute connaissance de cause. 20. Partant, le recours ne peut qu’être rejeté. Pour le surplus, la procédure est gratuite.</w:t>
      </w:r>
    </w:p>
    <w:p>
      <w:r>
        <w:t>A/1157/2018 - 31/31 -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