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ATAS/734/2018 vom 27. August 2018</w:t>
      </w:r>
    </w:p>
    <w:p>
      <w:r>
        <w:t>GE Cour de justice, 2018-08-27, FR</w:t>
      </w:r>
    </w:p>
    <w:p>
      <w:r>
        <w:rPr>
          <w:b/>
        </w:rPr>
        <w:t xml:space="preserve">Quelle: </w:t>
      </w:r>
      <w:r>
        <w:t>https://mcp.opencaselaw.ch/entscheid/ge_gerichte_ATAS_734_2018</w:t>
      </w:r>
    </w:p>
    <w:p>
      <w:r>
        <w:t>FR: GE_GERICHTE ATAS/734/2018 du 27 août 2018</w:t>
      </w:r>
    </w:p>
    <w:p>
      <w:r>
        <w:t>IT: GE_GERICHTE ATAS/734/2018 del 27 agosto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la forme et le délai prévus par la loi, le recours est recevable (art. 56 et 60 LPGA; art. 89B de la loi sur la procédure administrative du 12 septembre 1985 - [LPA-GE - E 5 10]).</w:t>
      </w:r>
    </w:p>
    <w:p>
      <w:r>
        <w:rPr>
          <w:b/>
        </w:rPr>
        <w:t>E. 3</w:t>
      </w:r>
    </w:p>
    <w:p>
      <w:r>
        <w:t>Le litige porte sur le droit de l’assuré à des prestations de l’assurance-invalidité.</w:t>
      </w:r>
    </w:p>
    <w:p>
      <w:r>
        <w:rPr>
          <w:b/>
        </w:rPr>
        <w:t>E. 4</w:t>
      </w:r>
    </w:p>
    <w:p>
      <w:r>
        <w:t>L’assuré a droit à une rente lorsqu’il a présenté une incapacité de travail (art. 6 LPGA) d’au moins 40% en moyenne durant une année sans interruption notable et qu’au terme de cette année, il est invalide (art.8 LPGA) à 40% au moins (cf. art. 28 al. 1 let. b et c LAI, en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- 10/20-</w:t>
      </w:r>
    </w:p>
    <w:p>
      <w:r>
        <w:t>A/3757/2016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w:t>
      </w:r>
    </w:p>
    <w:p>
      <w:r>
        <w:rPr>
          <w:b/>
        </w:rPr>
        <w:t>E. 6</w:t>
      </w:r>
    </w:p>
    <w:p>
      <w:r>
        <w:t>Selon la jurisprudence ayant cours jusqu’à récemment, les syndromes sans pathogenèse ni étiologie claires et sans constat de déficit organique n'entraînaient pas, en règle générale, une limitation de longue durée de la capacité de travail pouvant conduire à une invalidité (ATF 130 V 352 consid. 2.2.3). Toutefois, dans un arrêt rendu le 3 juin 2015 (ATF 141 V 281), le Tribunal fédéral a abandonné la présomption qui prévalait jusqu’à ce jour, selon laquelle les syndromes du type troubles somatoformes douloureux et affections psychosomatiques assimilées pouvaient en règle générale être surmontés par un effort de volonté raisonnablement exigible (consid. 3.4 et 3.5 de l'arrêt cité). Il a introduit un nouveau schéma d'évaluation au moyen d'indicateurs en lieu et place de l’ancien catalogue de critères (consid. 4 de l'arrêt cité). Dans un arrêt subséquent, il a considéré que dans la mesure où les difficultés d'objectivation et de preuve étaient communes à toutes les affections psychiques, le catalogue d’indicateurs découlant de l'ATF 141 V 281 devait être étendu également à ces affections, y-compris aux dépressions légères à moyennes (ATF 143 V 409 consid. 4.2.1). Ces modifications jurisprudentielles ne changent cependant rien à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En d’autres termes, la reconnaissance d'un taux d'invalidité fondant le droit à une rente ne sera admise que si, dans le cas d'espèce, les répercussions fonctionnelles de l'atteinte à la santé médicalement constatée sont établies de manière concluante et exempte de contradictions, et avec (au moins) un degré de vraisemblance prépondérante à l'aide des indicateurs standards. À défaut, c'est à la personne assurée de supporter les conséquences de l'absence de preuve (consid. 6 de l’arrêt cité).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En effet, la définition de cette atteinte mentionne comme « plainte essentielle », une « douleur persistante, intense, s’accompagnant d’un sentiment de détresse ». En outre, ce trouble assure habituellement au patient une aide et une sollicitude accrues de la part de</w:t>
      </w:r>
    </w:p>
    <w:p>
      <w:r>
        <w:t>- 11/20-</w:t>
      </w:r>
    </w:p>
    <w:p>
      <w:r>
        <w:t>A/3757/2016 l’entourage et des médecins (ch. F 45.40 de la CIM [Classification internationale des maladies]-10 2014).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(ATF 141 V 281 consid. 2.2 ; arrêt du Tribunal fédéral 8C_562/2014 du 29 septembre 2015 consid. 8.2).</w:t>
      </w:r>
    </w:p>
    <w:p>
      <w:r>
        <w:rPr>
          <w:b/>
        </w:rPr>
        <w:t>E. 7</w:t>
      </w:r>
    </w:p>
    <w:p>
      <w:r>
        <w:t>Une fois le diagnostic posé, la capacité de travail exigible doit être examinée au moyen d’un catalogue d’indicateurs, appliqué en fonction des circonstances du cas particulier et répondant aux exigences spécifiques de celui-ci (ATF 141 V 281 consid. 4.1.1).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w:t>
      </w:r>
    </w:p>
    <w:p>
      <w:r>
        <w:t>- 12/20-</w:t>
      </w:r>
    </w:p>
    <w:p>
      <w:r>
        <w:t>A/3757/2016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w:t>
      </w:r>
    </w:p>
    <w:p>
      <w:r>
        <w:t>- 13/20-</w:t>
      </w:r>
    </w:p>
    <w:p>
      <w:r>
        <w:t>A/3757/2016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w:t>
      </w:r>
    </w:p>
    <w:p>
      <w:r>
        <w:rPr>
          <w:b/>
        </w:rPr>
        <w:t>E. 8</w:t>
      </w:r>
    </w:p>
    <w:p>
      <w:r>
        <w:t>Selon le Tribunal fédéral, le changement de jurisprudence ne justifie pas en soi de nier toute valeur probante aux expertises rendues à l’aune de l’ancienne jurisprudence. Il y a lieu d’examiner dans chaque cas si les expertises administratives et/ou les expertises judiciaires recueillies, le cas échéant en les mettant en relation avec d’autres rapports médicaux, permettent ou non une appréciation concluante du cas à l’aune des indicateurs déterminants (arrêt du Tribunal fédéral 9C_716/2015 du 30 novembre 2015 consid. 4.1).</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w:t>
      </w:r>
    </w:p>
    <w:p>
      <w:r>
        <w:t>- 14/20-</w:t>
      </w:r>
    </w:p>
    <w:p>
      <w:r>
        <w:t>A/3757/2016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I.244/05 du 3 mai 2006 consid. 2.1).</w:t>
      </w:r>
    </w:p>
    <w:p>
      <w:r>
        <w:rPr>
          <w:b/>
        </w:rPr>
        <w:t>E. 10</w:t>
      </w:r>
    </w:p>
    <w:p>
      <w:r>
        <w:t>En l’espèce, l’intimé a fait siennes les conclusions du rapport d’expertise de la PMU, à teneur duquel le recourant dispose d’une capacité de travail entière dans toute activité exercée en position assise, lui permettant de se lever et d’éviter les marches prolongées, ainsi que les contacts visuels avec le public. Pour sa part, le recourant s’estime incapable d’exercer toute activité professionnelle. En substance, il reproche aux experts, d’une part, d’avoir retenu le diagnostic de « syndrome douloureux chronique de la région inguino-scrotale » (N50.8) plutôt que celui de « syndrome douloureux chronique avec facteurs somatique et psychique » (F.45.41), d’autre part, d’avoir omis de prendre en considération diverses limitations psychiques induites par ses douleurs, telles qu’énumérées par son médecin traitant dans un rapport de juin 2016 (fatigabilité, irritabilité, retrait social, diminution des capacités de concentration, de résistance au stress et d’adaptation). Il demande à la juridiction cantonale de mettre en œuvre une nouvelle expertise.</w:t>
      </w:r>
    </w:p>
    <w:p>
      <w:r>
        <w:rPr>
          <w:b/>
        </w:rPr>
        <w:t>E. 11</w:t>
      </w:r>
    </w:p>
    <w:p>
      <w:r>
        <w:t>Afin de se prononcer sur la capacité de travail, il convient d’examiner la valeur probante des rapports versés au dossier. a. La Cour de céans constate que les conclusions de l’expertise réalisée par la PMU en 2016 entrent partiellement en contradiction avec sa motivation, dans la mesure où les experts y ont considéré que l’assuré était pleinement capable d’exercer une activité adaptée tout en soulignant dans leur appréciation, notamment : - que « l’entretien et l’anamnèse permett[ai]ent avec un degré de vraisemblance élevé d’écarter une simulation ou une exagération chez un homme qui [avait] enduré ces cinq dernières années aussi bien la honte liée à l’emplacement des</w:t>
      </w:r>
    </w:p>
    <w:p>
      <w:r>
        <w:t>- 15/20-</w:t>
      </w:r>
    </w:p>
    <w:p>
      <w:r>
        <w:t>A/3757/2016 douleurs que les traitements proposés auxquels il s’[était] soumis et qui, pour certains, [avaient] pu être pénibles » (p.15) ; - que « le syndrome douloureux a[vait] un impact sur la capacité de travail, sur l’insertion sociale et sur le climat relationnel avec les proches » (p.15) ; - que « la compliance aux traitements invasifs qui [avaient] été proposés par le centre antidouleur [allait] également dans le sens d’un authentique vécu douloureux que l’absence d’étiologie objectivable ne [pouvait] totalement exclure » (p. 17) ; - que « malgré l’absence d’étiologie somatique retrouvée, le syndrome douloureux chronique, non expliqué par une pathologie psychiatrique associée, [était] (…) à l’origine d’un retentissement fonctionnel important chez un expertisé semblant présenter peu de ressources pour le surmonter » (p.17). Par ailleurs, force est d’admettre que l’expertise de la PMU ne permet pas d’apprécier la capacité de travail conformément aux indicateurs déterminants prescrits par la nouvelle jurisprudence relative aux atteintes sans étiologie claire (ATF 141 V 281), qu’il convient d’appliquer au cas d’espèce à défaut de substrat organique permettant d’expliquer les plaintes de l’assuré. On cherche notamment en vain dans cette expertise une évaluation motivée des ressources personnelles de l’assuré, ainsi que la détermination des experts sur une éventuelle limitation uniforme des niveaux d’activité dans tous les domaines comparables de la vie (consid. 4.4.1 de l’arrêt cité). On regrette également que les experts ne se soient pas livrés à une comparaison du niveau d’activité sociale avant et après l’opération chirurgicale de 2011 (ibidem), ni n’aient fourni la moindre indication quant au complexe de personnalité de l’assuré (diagnostic, développement et structure de la personnalité, fonctions complexes du moi, cf. consid. 4.3.2 de l’arrêt cité). Enfin, on constate que le diagnostic posé par les experts de « syndrome douloureux chronique de la région inguino-scrotale » ne figure pas sous cette dénomination dans la Classification internationale des maladies éditée par l'Organisation mondiale de la santé (CIM-10, 10ème révision). En effet, le code N50.8 auquel ils se réfèrent correspond aux « autres affections précisées des organes génitaux de l'homme ». Aussi doit-on admettre que l’expertise de la PMU ne revêt qu’une valeur probante limitée. b. Bien qu’elle ne soit pas totalement exempte de renseignement à ce propos, l’expertise réalisée par le Dr C______ en 2012 ne contient pas non plus une évaluation complète et détaillée des ressources de l’assuré au regard d’une éventuelle limitation des niveaux d’activité dans tous les domaines comparables de la vie, étant rappelé que l’analyse devrait comprendre, dans la mesure du possible, une comparaison du niveau d’activité sociale avant et après l’atteinte à la santé. Cette expertise est également peu diserte s’agissant du complexe de personnalité de l’assuré, alors que la nouvelle jurisprudence a renforcé les exigences de motivation</w:t>
      </w:r>
    </w:p>
    <w:p>
      <w:r>
        <w:t>- 16/20-</w:t>
      </w:r>
    </w:p>
    <w:p>
      <w:r>
        <w:t>A/3757/2016 sur ce point (cf. consid. 4.3.2 de l’arrêt cité). Enfin, l’expert C______ a laissé ouverte la question du diagnostic, en mentionnant deux hypothèses, soit celles d’un trouble somatoforme douloureux persistant ou de « facteurs psychologiques ou comportementaux associés à des troubles ou des maladies classées ailleurs », que des investigations supplémentaires sur l’étiologie des douleurs étaient censées permettre de départager. Toutefois, l’expertise subséquente de la PMU, bien que confirmant l’absence de substrat organique, ne permet pas véritablement de clarifier la question puisqu’aucun de ces diagnostics n’y est retenu. Au vu de ce qui précède, des investigations médicales supplémentaires demeurent nécessaires afin que la chambre de céans puisse statuer sur la capacité de travail et le degré d’invalidité, partant sur le droit éventuel à des prestations de l’assurance-invalidité.</w:t>
      </w:r>
    </w:p>
    <w:p>
      <w:r>
        <w:rPr>
          <w:b/>
        </w:rPr>
        <w:t>E. 12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282 consid. 4a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13</w:t>
      </w:r>
    </w:p>
    <w:p>
      <w:r>
        <w:t>Indiquer si d’autres traitements que ceux en cours sont envisageables et le cas échéant, quelle serait leur influence sur la capacité de travail. Quelles sont les probabilités de succès des éventuelles options thérapeutiques et quels sont les risques et/ou effets secondaires ? Combien de temps dureraient les mesures proposées ?</w:t>
      </w:r>
    </w:p>
    <w:p>
      <w:r>
        <w:rPr>
          <w:b/>
        </w:rPr>
        <w:t>E. 14</w:t>
      </w:r>
    </w:p>
    <w:p>
      <w:r>
        <w:t>Les limitations du niveau d’activité sont-elles uniformes dans tous les domaines de la vie (activité lucrative, ménage, loisirs et activités sociales) ? Quel est le niveau d’activité sociale et comment a-t-il évolué depuis la survenance de l’atteinte à la santé ? Veuillez comparer avec le niveau d’activité sociale avant l’atteinte à la santé.</w:t>
      </w:r>
    </w:p>
    <w:p>
      <w:r>
        <w:rPr>
          <w:b/>
        </w:rPr>
        <w:t>E. 15</w:t>
      </w:r>
    </w:p>
    <w:p>
      <w:r>
        <w:t>Dire quelles sont les limitations fonctionnelles, a) dans l’activité habituelle (cf. descriptif du poste de travail remis par l’employeur), b) dans une activité adaptée.</w:t>
      </w:r>
    </w:p>
    <w:p>
      <w:r>
        <w:t>- 19/20-</w:t>
      </w:r>
    </w:p>
    <w:p>
      <w:r>
        <w:t>A/3757/2016</w:t>
      </w:r>
    </w:p>
    <w:p>
      <w:r>
        <w:rPr>
          <w:b/>
        </w:rPr>
        <w:t>E. 16</w:t>
      </w:r>
    </w:p>
    <w:p>
      <w:r>
        <w:t>Mentionner les conséquences des divers diagnostics retenus sur la capacité de travail de l’assuré, en pourcent, a) dans l’activité habituelle b) dans une activité adaptée.</w:t>
      </w:r>
    </w:p>
    <w:p>
      <w:r>
        <w:rPr>
          <w:b/>
        </w:rPr>
        <w:t>E. 17</w:t>
      </w:r>
    </w:p>
    <w:p>
      <w:r>
        <w:t>Dater la survenance de l’incapacité de travail durable, le cas échéant décrire son évolution et indiquer comment son taux a évolué.</w:t>
      </w:r>
    </w:p>
    <w:p>
      <w:r>
        <w:rPr>
          <w:b/>
        </w:rPr>
        <w:t>E. 18</w:t>
      </w:r>
    </w:p>
    <w:p>
      <w:r>
        <w:t>Évaluer l'exigibilité, en pourcent, d'une activité lucrative adaptée. Le cas échéant, indiquer depuis quand une telle activité est exigible et quel domaine d'activité vous paraît adapté.</w:t>
      </w:r>
    </w:p>
    <w:p>
      <w:r>
        <w:rPr>
          <w:b/>
        </w:rPr>
        <w:t>E. 19</w:t>
      </w:r>
    </w:p>
    <w:p>
      <w:r>
        <w:t>Dire s'il y a une diminution de rendement et la chiffrer.</w:t>
      </w:r>
    </w:p>
    <w:p>
      <w:r>
        <w:rPr>
          <w:b/>
        </w:rPr>
        <w:t>E. 20</w:t>
      </w:r>
    </w:p>
    <w:p>
      <w:r>
        <w:t>Discuter les avis des experts s’étant déjà prononcés, des médecins de l’assuré et indiquer pour quelles raisons ces avis sont confirmés ou écartés.</w:t>
      </w:r>
    </w:p>
    <w:p>
      <w:r>
        <w:rPr>
          <w:b/>
        </w:rPr>
        <w:t>E. 21</w:t>
      </w:r>
    </w:p>
    <w:p>
      <w:r>
        <w:t>Formuler un pronostic global.</w:t>
      </w:r>
    </w:p>
    <w:p>
      <w:r>
        <w:rPr>
          <w:b/>
        </w:rPr>
        <w:t>E. 22</w:t>
      </w:r>
    </w:p>
    <w:p>
      <w:r>
        <w:t>Toute remarque ou proposition utile des experts. 5. S'agissant plus particulièrement des troubles psychiques, charge l’expert-psychiatre de répondre également aux questions suivantes : a) Quel est le degré de gravité de chacun des troubles diagnostiqués (faible, moyen, grave) ? b) Les troubles psychiques constatés nécessitent-ils une prise en charge spécialisée ? c)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Veuillez motiver. d) De quelles ressources mobilisables l’assuré dispose-t-il ? Veuillez motiver. e) Quel est le contexte social ? L’intéressé peut-il compter sur le soutien de ses proches ? f) Pour le cas où il y aurait refus ou mauvaise acceptation d’une thérapie recommandée et accessible : cette attitude doit-elle être attribuée à une incapacité de l’assurée à reconnaître sa maladie ? g) Dans l’ensemble, le comportement de l’expertisé vous semble-t-il cohérent ? Pourquoi ?</w:t>
      </w:r>
    </w:p>
    <w:p>
      <w:r>
        <w:t>- 20/20-</w:t>
      </w:r>
    </w:p>
    <w:p>
      <w:r>
        <w:t>A/3757/2016 h) Veuillez expliquer pourquoi vous confirmez ou écartez les limitations psychiques énumérées par le Dr B______, soit : - fatigabilité - irritabilité - retrait social - diminution des facultés d’adaptation - diminution des capacités de concentration et de résistance au stress. i) L’état psychique de l’assuré s’est-il aggravé ? Si oui, quand, dans quelle mesure et de quelle façon ? 6. Invite les experts à faire une appréciation consensuelle du cas s’agissant de toutes les problématiques ayant des interférences entre-elles, notamment l’appréciation de la capacité résiduelle de travail. 7. Invite les experts à déposer dans les meilleurs délais un rapport en trois exemplaires auprès de la chambre de céans. 8. Fixe aux parties un délai de 10 jours dès réception de la présente pour une éventuelle récusation des experts nommés. 9. Réserve le fond.</w:t>
      </w:r>
    </w:p>
    <w:p>
      <w:r>
        <w:t>La greffière</w:t>
      </w:r>
    </w:p>
    <w:p>
      <w:r>
        <w:t>Marie-Catherine SECHAUD</w:t>
      </w:r>
    </w:p>
    <w:p>
      <w:r>
        <w:t>La présidente</w:t>
      </w:r>
    </w:p>
    <w:p>
      <w:r>
        <w:t>Karine STECK</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