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ATAS/734/2008 vom 19. Juni 2008</w:t>
      </w:r>
    </w:p>
    <w:p>
      <w:r>
        <w:t>GE Cour de justice, 2008-06-19, FR</w:t>
      </w:r>
    </w:p>
    <w:p>
      <w:r>
        <w:rPr>
          <w:b/>
        </w:rPr>
        <w:t xml:space="preserve">Quelle: </w:t>
      </w:r>
      <w:r>
        <w:t>https://mcp.opencaselaw.ch/entscheid/ge_gerichte_ATAS_734_2008</w:t>
      </w:r>
    </w:p>
    <w:p>
      <w:r>
        <w:t>FR: GE_GERICHTE ATAS/734/2008 du 19 juin 2008</w:t>
      </w:r>
    </w:p>
    <w:p>
      <w:r>
        <w:t>IT: GE_GERICHTE ATAS/734/2008 del 19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Ces principes de droit intertemporel commandent ainsi l'examen du bien-fondé de la décision sur</w:t>
      </w:r>
    </w:p>
    <w:p>
      <w:r>
        <w:t>A/2470/2007 - 9/19 - opposition du 24 mai 2007 à la lumière des anciennes dispositions de la LAA pour la période s'étendant jusqu'au 31 décembre 2002 et, le cas échéant, au regard des nouvelles dispositions de la LPGA pour la période postérieure (ATF 130 V 332 consid. 2.2 et 2.3).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légaux, le recours est recevable à la forme (art. 60 LPGA).</w:t>
      </w:r>
    </w:p>
    <w:p>
      <w:r>
        <w:rPr>
          <w:b/>
        </w:rPr>
        <w:t>E. 4</w:t>
      </w:r>
    </w:p>
    <w:p>
      <w:r>
        <w:t>Le litige porte sur le droit de la recourante à une rente d’invalidité LAA ainsi qu'à une indemnité pour atteinte à l'intégrité.</w:t>
      </w:r>
    </w:p>
    <w:p>
      <w:r>
        <w:rPr>
          <w:b/>
        </w:rPr>
        <w:t>E. 5</w:t>
      </w:r>
    </w:p>
    <w:p>
      <w:r>
        <w:t>a) Selon l’art. 6 al. 1 LAA, l’assurance-accidents ne répond des atteintes à la santé que lorsqu’elles sont en relation de causalité non seulement naturelle, mais encore adéquate avec l’événement assuré (ATF 119 V 335 consid. 1). Selon la jurisprudence du Tribunal fédéral des assurances (ci-après le TFA),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En revanche,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En revanche,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w:t>
      </w:r>
    </w:p>
    <w:p>
      <w:r>
        <w:t>A/2470/2007 - 10/19 -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b)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w:t>
      </w:r>
    </w:p>
    <w:p>
      <w:r>
        <w:t>A/2470/2007 - 11/19 - c) Si par suite de l'accident, l'assuré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(GILD et ZOLLINGER, Die Integritätentschädigung nach dem Bundesgesetz über die Unfallversicherung, Berne 1984, pp. 38 et 46; dans le même sens, MAURER, Schweizerisches Unfallversicherungsrecht, Berne 1985, p. 417; RUMO-JUNGO, MURER, Bundesgesetz über die Unfallversicherung, Zurich 1991, ad art. 25 al. 1, p. 104). En vertu des art. 25 al. 2 LAA et 36 al. 1 de l'ordonnance sur l'assurance-accidents du 20 décembre 1982 (OLAA), le Conseil fédéral a édicté des directives sur le calcul de l'atteinte à l'intégrité, constituant l'annexe 3 de l'OLAA. L'annexe 3 à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chiffre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La division médicale de la SUVA a en outre élaboré des tables complémentaires plus détaillées (Informations de la division médicale de la SUVA n° 57 à 60, ainsi que 62), que le Tribunal fédéral a jugées compatibles avec l'annexe 3 OLAA, dans la mesure où elles ne constituaient pas des règles de droit impératives, mais simplement des indications destinées à garantir l'égalité de traitement entre les assurés (ATF 116 V 156; 113 V 218). Par ailleurs, le Tribunal fédéral des assurances a jugé dans une jurisprudence constante que les troubles psychiques consécutifs à un accident ne donnaient droit à une indemnité pour atteinte à l’intégrité que lorsqu’il était possible de poser de manière indiscutable un diagnostic individuel à long terme, qui exclut pratiquement pour toute la vie une guérison ou une amélioration (cf. ATFA du 3 avril 1998 en la cause U 257/96 et RAMA 1998 p. 354 et ss). d) Pour pouvoir se déterminer,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w:t>
      </w:r>
    </w:p>
    <w:p>
      <w:r>
        <w:t>A/2470/2007 - 12/19 -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Selon le principe de la libre appréciation des preuves (art. 61 let. c LPGA), l'administration ou le juge apprécie librement les preuves, sans être lié par des règles formelles, en procédant à une appréciation complète et rigoureuse. Le juge apprécie en outre la légalité des décisions attaquées, sauf exceptions, d'après l'état de fait existant au moment où la décision sur opposition litigieuse a été rendue (ATF 121 V 366 consid. 1b; RAMA 2001 n° U 419 p. 101). Il doit examiner de manière objective tous les documents à disposition, quelle qu'en soit la provenance, puis décider si ceux-ci permettent de porter un jugement valable sur le droit litigieux. Si les rapports médicaux sont contradictoires, le juge ne peut trancher l'affaire sans apprécier l'ensemble des preuves et sans indiquer les raisons pour lesquelles il se fonde sur une opinion médicale plutôt qu'une autre (ATF 125 V 352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cité consid. 3a, 122 V 160 consid. 1c et les références). Le juge ne s'écarte en principe pas sans motifs impératifs des conclusions d'une expertise médicale judiciaire ou administrative,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A/2470/2007 - 13/19 -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6</w:t>
      </w:r>
    </w:p>
    <w:p>
      <w:r>
        <w:t>En l'occurrence se trouvent au dossier plusieurs rapports du médecin traitant, le Dr N_________, ainsi que plusieurs expertises médicales, particulièrement celle du Dr O_________ de février 2004, celle du Dr R_________ de janvier 2007 ainsi qu'un examen fait par le SMR dans le cadre de l'assurance-invalidité de septembre 2004. Il convient tout d'abord de constater que les expertises médicales effectuées dans le cadre de l'assurance-accidents ont toutes les deux valeur probante au sens de la jurisprudence fédérale. En effet, elles comprennent une anamnèse détaillée, tiennent compte des plaintes de l'assurée, posent des diagnostics clairs, répondent aux questions posées de manière précise et comportent des conclusions motivées. L'examen du SMR remplit également les conditions jurisprudentielles pour lui reconnaître pleine valeur probante. Le Dr O_________ n'a pas parlé d'atteinte à l'épaule préexistante et ne s'est pas prononcé explicitement sur le lien de causalité entre l'accident et l'atteinte à l'épaule. Il conclut que la capacité de travail s'élève à 50 % depuis le 1er mai 2003 et propose une tentative de reprise de l'activité professionnelle à plein temps dès la fin</w:t>
      </w:r>
    </w:p>
    <w:p>
      <w:r>
        <w:t>A/2470/2007 - 14/19 - du mois de mars 2004. Il précise qu'en cas d'échec de l'activité de cuisinière, un travail adapté devrait être recherché. Dès lors, selon lui, cet accident ne devrait pas entraîner d'invalidité. Il estime qu'une indemnité pour atteinte à l'intégrité de 10 % est justifiée, reconnaissant pas là la causalité naturelle entre l'accident et l'atteinte à la santé. Quant au Dr R_________, il relève qu'il est difficile de savoir si l'assurée avait et présentait des douleurs de son épaule avant l'événement du 6 novembre 2002. Le bilan IRM et l'échographie effectués afin de connaître l'origine de ces douleurs de l'épaule montrent une tendinopathie chronique importante avec une vraisemblable déchirure partielle. Dès lors, selon l'expert, ce problème était vraisemblablement antérieur à l'événement de novembre 2002. Ainsi, s'agissant de la causalité naturelle, il estime que les troubles actuels ne sont que partiellement dus à l'accident. Il précise également qu'ils sont dus d'une façon fortement vraisemblable à l'événement du 6 novembre 2002. Il reconnaît ainsi une causalité naturelle entre l'atteinte à l'épaule et l'accident, mais estime que le statu quo sine est atteint dès la reprise de travail à 100 %, soit dès le 31 mars 2004 (reprise prévue par le Dr O_________ dans son expertise). En effet, il considère que l'accident du 6 novembre 2002 a provoqué une aggravation passagère d'une affection de la santé préexistante. Selon lui, il est plus que vraisemblable que la tendinopathie chronique vue lors de l'IRM était présente avant l'événement de novembre 2002. Il précise qu'une IRM ne fait pas de manière certaine la différence entre une déchirure partielle et une atteinte dégénérative du tendon, les signaux étant identiques. Il fonde son raisonnement sur le fait qu'une contusion de l'épaule gauche aurait dû réagir de manière tout à fait favorable après quelques semaines de traitement adéquat et qu'il n'y a pas objectivement de raison à ce que l'évolution soit en l'occurrence différente, à moins d'une lésion préexistante. S'agissant de la capacité de travail, elle est selon lui complète pour tout travail ménageant l'épaule gauche, c'est-à-dire évitant les mouvements du membre supérieur au-dessus de l'horizon. Les travaux coude au corps sont possibles. Les limitations fonctionnelles sont les suivantes concernant l'épaule gauche : pas de travail du membre supérieur gauche au-delà de 60° d'adduction et/ou de mouvements répétitifs. Le port de charges est limité à 13 kilos avec les deux membres supérieurs et à 5 kilos au membre supérieur gauche. La capacité est totale en tenant compte de ces limitations depuis mai 2003. S'agissant de cette expertise, qui, comme il a été dit, a pleine valeur probante, il convient toutefois de relever que l'existence d'une lésion préexistante n'est pas prouvée à satisfaction de droit, soit au degré de vraisemblance prépondérante exigé en matière d'assurances sociales. En effet, comme le souligne le Dr N_________, la recourante n'a jamais souffert de son épaule gauche avant l'accident, alors qu'elle faisait un travail exigeant des mouvements de l'épaule, et rien ne prouve, au vu de l'IRM, qu'une lésion préexistante existait. Le raisonnement qui consiste à dire que la contusion de l'épaule gauche aurait dû réagir de manière tout à fait favorable après quelques semaines de traitement adéquat et qu'il n'y a pas objectivement de</w:t>
      </w:r>
    </w:p>
    <w:p>
      <w:r>
        <w:t>A/2470/2007 - 15/19 - raison à ce que l'évolution soit en l'occurrence différente, à moins d'une lésion préexistante, relève d'une simple hypothèse qui n'est pas suffisante pour établir au degré de vraisemblance prépondérante requise l'existence d'une lésion antérieure à l'événement de novembre 2002. À cet égard, il sied de relever que le Dr O_________ n'a pas relevé la présence d'une affection préexistante de l'épaule gauche et a admis le lien de causalité naturelle entre l'accident et les troubles présentés par la recourante. Aussi a-t-il reconnu le droit de l'assurée à une indemnité pour atteinte à l'intégrité de 10 %. Ainsi, en raison de l'absence de preuve, c'est à l'intimée, qui voulait en déduire un droit, d'en supporter les conséquences. Dès lors l'existence d'un lien de causalité entre l'accident et l'atteinte à l'épaule gauche sera tenue pour établie, étant précisé qu'aucune lésion préexistante n'a pas être démontrée au degré de vraisemblance prépondérante requis.</w:t>
      </w:r>
    </w:p>
    <w:p>
      <w:r>
        <w:rPr>
          <w:b/>
        </w:rPr>
        <w:t>E. 7</w:t>
      </w:r>
    </w:p>
    <w:p>
      <w:r>
        <w:t>S'agissant de la capacité de travail que l'expert R_________ estime totale dans une activité adaptée, il convient de préciser qu'il est rejoint dans ses conclusions par le Dr O_________ et par la Dresse P_________ du SMR qui estiment également qu'une activité adaptée aux limitations fonctionnelles - qui comprennent au regard de l'assurance-invalidité également des atteintes au dos, notamment - est exigible à plein temps. L'expert R_________ est contredit à ce sujet dans ses conclusions par le médecin traitant, ainsi que par les experts professionnels, non médecins, du Service de réadaptation de l'assurance-invalidité et de l'Hôpital BEAU-SEJOUR. A cet égard, il convient de préciser que les expertises ont une valeur probante accrue par rapport aux attestations du médecin traitant qui est généralement enclin, en cas de doute, à prendre parti pour son patient en raison de la relation de confiance qui l'unit à ce dernier. S'agissant de l'appréciation des experts professionnels, le Tribunal fédéral a indiqué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Il convient encore de relever que ni le médecin traitant ni les experts professionnels n'apportent d'arguments décisifs permettant de mettre en doute le bien-fondé des conclusions des experts s'agissant de la capacité de travail. En effet, l'on ne voit pas qu'une mobilité de l'épaule, certes dominante, limitée à une élévation à 90°, une rotation externe à 30° et à une rotation au niveau du grand trochanter puisse entraîner une totale incapacité de travail, puisque tous les travaux au coude au corps restent possibles, selon l'ensemble des experts. Concernant l'assurance-invalidité, qui a octroyé à la recourante une rente entière d'invalidité basée sur un degré de 70 %, il convient de relever que le Tribunal de céans ignore sur quelle base juridique une telle rente a été accordée. En effet,</w:t>
      </w:r>
    </w:p>
    <w:p>
      <w:r>
        <w:t>A/2470/2007 - 16/19 - l'examen médical conduit par le SMR est clair; l'assurée présente, malgré ses atteintes à la santé, une pleine capacité de travail dans une activité adaptée. Or, selon la jurisprudence fédérale, l'OCAI n'aurait pas dû préférer l'appréciation des experts professionnels à celle des médecins. Dès lors, le Tribunal de céans constatera que la décision de l'OCAI repose sur une erreur de droit ou sur une appréciation insoutenable et ne doit pas être suivie dans le cadre de l'assurance- accidents. Il sera encore relevé que le médecin traitant a mentionné que sa patiente était en incapacité totale de travail, tout en précisant qu'elle présentait une capacité résiduelle de travail de 50 % pour des métiers sédentaires. Il ne conclut ainsi pas à une totale incapacité de travail, contrairement à ce que soutient la recourante. S'agissant des témoignages du Dr N_________ et de Monsieur B_________, ils n'apportent aucun élément permettant de remettre en cause les conclusions des experts s'agissant de la capacité de travail. Enfin, il convient de constater qu'une surexpertise judicaire ne se justifie pas en l'espèce, au vu de la valeur probante des expertises faites au niveau de l'administration et du fait que le dossier est suffisamment instruit.</w:t>
      </w:r>
    </w:p>
    <w:p>
      <w:r>
        <w:rPr>
          <w:b/>
        </w:rPr>
        <w:t>E. 8</w:t>
      </w:r>
    </w:p>
    <w:p>
      <w:r>
        <w:t>Au vu de ce qui précède, il convient maintenant de déterminer l'éventuel degré d'invalidité de la recourante pour établir si elle a droit à une rente LAA.</w:t>
      </w:r>
    </w:p>
    <w:p>
      <w:r>
        <w:t>a) Selon l'art. 18 LAA, dans sa teneur en vigueur depuis le 1er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 77). Lorsque l'assuré ne reprend pas d'activité lucrative, la comparaison peut se faire au moyen de tabelles statistiques publiées par l'Office fédéral de la statistique (ATF 126 V 76 consid. 3a/bb et les</w:t>
      </w:r>
    </w:p>
    <w:p>
      <w:r>
        <w:t>A/2470/2007 - 17/19 - références) ou de données salariales résultant de descriptions de postes de travail (DPT) (ATF 129 V 472), les DPT de la CNA n'ayant pas de valeur prépondérante par rapport aux données statistiques (RAMA 1999 U 343 consid. 4b/aa, p. 412). S'agissant des statistiques, on se référera aux salaires bruts standardisés, en se fondant toujours sur la médiane ou valeur centrale (ATF 124 V 321),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f) Aux termes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La rente est allouée pour tout le mois au cours duquel ledit droit est né.</w:t>
      </w:r>
    </w:p>
    <w:p>
      <w:r>
        <w:t>Il convient dès lors de procéder à la comparaison des revenus avant et après invalidité. L’année déterminante pour la comparaison des revenus est l’année 2007, puisque l'intimée a versé des indemnités journalières jusqu'au 31 janvier 2007. Quant au salaire avant invalidité, il convient de prendre en compte, selon le jugement du Tribunal des prud'hommes intervenant entre la recourante et son employeur, en 2002 (dernière année de travail de la recourante), un revenu mensuel brut de 4'345 fr. x 12 + 1'431 fr. à titre de part du treizième salaire (calculé sur</w:t>
      </w:r>
    </w:p>
    <w:p>
      <w:r>
        <w:rPr>
          <w:b/>
        </w:rPr>
        <w:t>E. 12</w:t>
      </w:r>
    </w:p>
    <w:p>
      <w:r>
        <w:t>mois contrairement au treizième salaire du Tribunal des prud'hommes, calculé jusqu'au 12 novembre 2002), soit un montant total de 53'571 fr. Réévalué à l'indice des salaires nominaux et réels 2006, femmes, (les chiffres 2007 ne sont pas encore disponibles; La Vie économique, tableau B10.3), ce montant doit être porté à 56'394 fr. 20.</w:t>
      </w:r>
    </w:p>
    <w:p>
      <w:r>
        <w:t>A/2470/2007 - 18/19 - Pour le revenu après invalidité, compte tenu de l’activité légère de substitution, le salaire statistique de référence est celui auquel peuvent prétendre les femmes effectuant des activités simples en 2006 - la recourante n'ayant pas de formation professionnelle -, à savoir 4'019 fr. par mois ou 48'228 fr. par an (ESS 2006, tableau TA1, niveau de qualification 4, premiers résultats). Compte tenu des limitations que présente la recourante, un abattement de 10% selon la jurisprudence se justifie en raison des limitations fonctionnelles et de la nationalité, ce qui porte le revenu après invalidité à 43'405 fr. 20 (cf. ATF du 10 avril 2006, U 12/05). Ainsi, si l’on compare ce montant avec le revenu sans invalidité ([56'394 fr. 20 – 43'405 fr. 20] x 100 / 56'394 fr. 20), l’on obtient un degré d’invalidité de 23,03 % auquel correspond une rente de 23 %. Cette rente doit être versée dès le 1er février 2007, puisque l'intimée a servi des indemnités journalières jusqu'au 31 janvier 2007 et que l'état de santé est stabilisé à cette date. 9. S'agissant de l'indemnité pour atteinte à l'intégrité, l'expert R_________ n'a pas admis le droit à une telle indemnité, au motif que le statu quo sine avait été atteint le 31 mars 2004. Cependant, il ne peut, comme on l'a vu, être suivi sur ce point. Quant à l'expert O_________, il a évalué l'indemnité pour atteinte à l'intégrité à 10 %, tenant compte de la périarthrite scapulo-humérale modérée de la recourante, et se basant sur la table 1 de la SUVA. Son appréciation n'est pas critiquable et sera suivie par le Tribunal de céans. 10. Au vu de ce qui précède, le recours sera partiellement admis en ce sens que la recourante se voit reconnaître le droit à une rente d'invalidité LAA basée sur un de- gré de 23 %, dès le 1er février 2007 et à une indemnité pour atteinte à l'intégrité de 10 %. Obtenant partiellement gain de cause, elle aura également droit à des dépens, fixés 1'300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