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ATAS/733/2021 vom 30. Juni 2021</w:t>
      </w:r>
    </w:p>
    <w:p>
      <w:r>
        <w:t>GE Cour de justice, 2021-06-30, FR</w:t>
      </w:r>
    </w:p>
    <w:p>
      <w:r>
        <w:rPr>
          <w:b/>
        </w:rPr>
        <w:t xml:space="preserve">Quelle: </w:t>
      </w:r>
      <w:r>
        <w:t>https://mcp.opencaselaw.ch/entscheid/ge_gerichte_ATAS_733_2021</w:t>
      </w:r>
    </w:p>
    <w:p>
      <w:r>
        <w:t>FR: GE_GERICHTE ATAS/733/2021 du 30 juin 2021</w:t>
      </w:r>
    </w:p>
    <w:p>
      <w:r>
        <w:t>IT: GE_GERICHTE ATAS/733/2021 del 30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A/3171/2019 - 19/34 -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Le litige porte sur le point de savoir si l’intimé était fondé à rejeter la nouvelle demande de prestations de la recourante, singulièrement si une aggravation de son état de santé s’est produite entre le 28 mai 2010 et le 27 juin 2019, dates de la première, respectivement de la seconde décision de refus de prestations.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s’est-il aggravé depuis le 28 mai 2010, date de la dernière décision de l’office AI de Bâle-Campagne et dans quelle mesure ? 5. Limitations fonctionnelles</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w:t>
      </w:r>
    </w:p>
    <w:p>
      <w:r>
        <w:t>A/3171/2019 - 20/34 -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t>A/3171/2019 - 21/34 -</w:t>
      </w:r>
    </w:p>
    <w:p>
      <w:r>
        <w:rPr>
          <w:b/>
        </w:rPr>
        <w:t>E. 6.1</w:t>
      </w:r>
    </w:p>
    <w:p>
      <w:r>
        <w:t>Est-ce que le tableau clinique est cohérent, compte tenu du ou des diagnostic(s) retenu(s) ou y a-t-il des atypies ?</w:t>
      </w:r>
    </w:p>
    <w:p>
      <w:r>
        <w:rPr>
          <w:b/>
        </w:rPr>
        <w:t>E. 6.2</w:t>
      </w:r>
    </w:p>
    <w:p>
      <w:r>
        <w:t>Est-ce que ce qui est connu de l’évolution, en particulier depuis le 28 mai 2010, correspond à ce qui est attendu pour le ou les diagnostic(s) retenu(s) ?</w:t>
      </w:r>
    </w:p>
    <w:p>
      <w:r>
        <w:t>A/3171/2019 - 32/34 -</w:t>
      </w:r>
    </w:p>
    <w:p>
      <w:r>
        <w:rPr>
          <w:b/>
        </w:rPr>
        <w:t>E. 6.3</w:t>
      </w:r>
    </w:p>
    <w:p>
      <w:r>
        <w:t>Est-ce qu’il y a des discordances entre les plaintes et le comportement de la personne expertisée, entre les limitations alléguées et ce qui est connu de ses activités et de sa vie quotidienne ?</w:t>
      </w:r>
    </w:p>
    <w:p>
      <w:r>
        <w:rPr>
          <w:b/>
        </w:rPr>
        <w:t>E. 6.4</w:t>
      </w:r>
    </w:p>
    <w:p>
      <w:r>
        <w:t>Est-ce que la personne expertisée s’est engagée ou s’engage dans les traitements qui sont raisonnablement exigibles et possiblement efficaces dans son cas ou n’a-t-elle que peu ou pas de demande de soins ? 7. Personnalité (concerne l’expert psychiatre uniquement)</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7.1</w:t>
      </w:r>
    </w:p>
    <w:p>
      <w:r>
        <w:t>Est-ce que la personne expertisée présente un trouble de la personnalité selon les critères diagnostiques des ouvrages de référence ? Si oui, lequel ?</w:t>
      </w:r>
    </w:p>
    <w:p>
      <w:r>
        <w:rPr>
          <w:b/>
        </w:rPr>
        <w:t>E. 7.2</w:t>
      </w:r>
    </w:p>
    <w:p>
      <w:r>
        <w:t>Est-ce que la personne expertisée présente des traits de personnalité pathologiques et, si oui, lesquels ? Le cas échéant, quelle est l’influence de ce trouble de la personnalité ou de ces traits de personnalité pathologiques sur les limitations éventuelles et sur l’évolution des troubles de la personne expertisée ?</w:t>
      </w:r>
    </w:p>
    <w:p>
      <w:r>
        <w:rPr>
          <w:b/>
        </w:rPr>
        <w:t>E. 7.3</w:t>
      </w:r>
    </w:p>
    <w:p>
      <w:r>
        <w:t>La personne expertisée se montre-t-elle authentique ou y a-t-il des signes d’exagération des symptômes ou de simulation ? 8. Ressources (concerne l’expert psychiatre uniquement)</w:t>
      </w:r>
    </w:p>
    <w:p>
      <w:r>
        <w:rPr>
          <w:b/>
        </w:rPr>
        <w:t>E. 8</w:t>
      </w:r>
    </w:p>
    <w:p>
      <w:r>
        <w:t>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A/3171/2019 - 22/34 -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8.1</w:t>
      </w:r>
    </w:p>
    <w:p>
      <w:r>
        <w:t>Quelles sont les ressources résiduelles de la personne expertisée sur les plans :</w:t>
      </w:r>
    </w:p>
    <w:p>
      <w:r>
        <w:t>a) psychique</w:t>
      </w:r>
    </w:p>
    <w:p>
      <w:r>
        <w:t>b) mental</w:t>
      </w:r>
    </w:p>
    <w:p>
      <w:r>
        <w:t>c) social</w:t>
      </w:r>
    </w:p>
    <w:p>
      <w:r>
        <w:t>d) familial 9. Capacité de travail</w:t>
      </w:r>
    </w:p>
    <w:p>
      <w:r>
        <w:rPr>
          <w:b/>
        </w:rPr>
        <w:t>E. 9</w:t>
      </w:r>
    </w:p>
    <w:p>
      <w:r>
        <w:t>S’agissant des indicateurs développés par le Tribunal fédéral (ATF 141 V 281), ils concernent deux catégories, à savoir celle du degré de gravité fonctionnelle et celle de la cohérence. Ils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A/3171/2019 - 23/34 - 1.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A/3171/2019 - 24/34 - facteur d’affaiblissement potentiel des ressources, mais doit être pris en considération dans l’approche globale (ATF 141 V 281 consid. 4.3.1.3). À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A/3171/2019 - 25/34 -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9.1</w:t>
      </w:r>
    </w:p>
    <w:p>
      <w:r>
        <w:t>La personne expertisée est-elle capable d’exercer son ancienne activité d’aide-comptable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réduite/nulle ?</w:t>
      </w:r>
    </w:p>
    <w:p>
      <w:r>
        <w:rPr>
          <w:b/>
        </w:rPr>
        <w:t>E. 9.1.3</w:t>
      </w:r>
    </w:p>
    <w:p>
      <w:r>
        <w:t>Veuillez préciser si dans l’ancienne activité d’aide-comptable, le taux d’incapacité de travail et/ou le rendement se sont modifiés depuis le 28 mai 2010, date de la dernière décision de l’office AI de Bâle-Campagne entrée en force et dans quelle mesure, en précisant sur quels éléments se fonde votre réponse.</w:t>
      </w:r>
    </w:p>
    <w:p>
      <w:r>
        <w:rPr>
          <w:b/>
        </w:rPr>
        <w:t>E. 9.2</w:t>
      </w:r>
    </w:p>
    <w:p>
      <w:r>
        <w:t>La personne expertisée est-elle capable d’exercer une activité lucrative adaptée à ses limitations fonctionnelles ?</w:t>
      </w:r>
    </w:p>
    <w:p>
      <w:r>
        <w:t>A/3171/2019 - 33/34 -</w:t>
      </w:r>
    </w:p>
    <w:p>
      <w:r>
        <w:rPr>
          <w:b/>
        </w:rPr>
        <w:t>E. 9.2.1</w:t>
      </w:r>
    </w:p>
    <w:p>
      <w:r>
        <w:t>Si non ou dans une mesure restreinte, pour quels motifs ? Quelles sont les limitations fonctionnelles qui entrent en ligne de compte ?</w:t>
      </w:r>
    </w:p>
    <w:p>
      <w:r>
        <w:rPr>
          <w:b/>
        </w:rPr>
        <w:t>E. 9.2.2</w:t>
      </w:r>
    </w:p>
    <w:p>
      <w:r>
        <w:t>Si oui, quelle activité lucrative ? À quel taux ? Depuis quelle date ?</w:t>
      </w:r>
    </w:p>
    <w:p>
      <w:r>
        <w:rPr>
          <w:b/>
        </w:rPr>
        <w:t>E. 9.2.3</w:t>
      </w:r>
    </w:p>
    <w:p>
      <w:r>
        <w:t>Veuillez préciser si le taux d’exigibilité de l’exercice d’une activité adaptée et/ou le rendement dans une telle activité se sont modifiés depuis le 28 mai 2010, date de la dernière décision de l’office AI de Bâle- Campagne entrée en force et dans quelle mesure, en précisant sur quels éléments se fonde votre réponse.</w:t>
      </w:r>
    </w:p>
    <w:p>
      <w:r>
        <w:rPr>
          <w:b/>
        </w:rPr>
        <w:t>E. 9.3</w:t>
      </w:r>
    </w:p>
    <w:p>
      <w:r>
        <w:t>Des mesures médicales sont-elles nécessaires préalablement à la reprise d’une activité lucrative ? Si oui lesquelles ? 10. Traitement</w:t>
      </w:r>
    </w:p>
    <w:p>
      <w:r>
        <w:rPr>
          <w:b/>
        </w:rPr>
        <w:t>E. 10</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A/3171/2019 - 26/34 -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A/3171/2019 - 27/34 -</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médical et médicamenteux ? Confirmer la compliance médicamenteuse avec un dosage sanguin. 11. Appréciation d’avis médicaux du dossier</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 là ou 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11.1</w:t>
      </w:r>
    </w:p>
    <w:p>
      <w:r>
        <w:t>Êtes-vous d’accord avec le rapport d’expertise bi-disciplinaire du BEM- Vevey du 10 décembre 2018 ? En particulier avec les diagnostics posés et l’estimation d’une capacité de travail totale dans l’activité d’aide- comptable comme dans toute activité adaptée ? Si non pourquoi ?</w:t>
      </w:r>
    </w:p>
    <w:p>
      <w:r>
        <w:rPr>
          <w:b/>
        </w:rPr>
        <w:t>E. 11.2</w:t>
      </w:r>
    </w:p>
    <w:p>
      <w:r>
        <w:t>Êtes-vous d’accord avec les avis des médecins traitants (Drs T______, U______, Q______, K______ et P______) ? En particulier avec les diagnostics posés, les limitations fonctionnelles constatées et l’estimation d’une capacité de travail diminuée voire nulle ? Si non, pourquoi ? 12. Quel est le pronostic ?</w:t>
      </w:r>
    </w:p>
    <w:p>
      <w:r>
        <w:rPr>
          <w:b/>
        </w:rPr>
        <w:t>E. 12</w:t>
      </w:r>
    </w:p>
    <w:p>
      <w:r>
        <w:t>En l'espèce, il convient de comparer la situation telle qu’elle se présentait lors de la décision du 28 mai 2010 avec celle existant au moment de la décision du 27 juin 2019 pour apprécier le bien-fondé d'une éventuelle révision opérée en application de l'art. 17 LPGA. La décision du 28 mai 2010 se fondait sur le rapport d’expertise pluridisciplinaire de l’ABI du 15 mai 2009, aux termes duquel la capacité de travail dans l’activité habituelle et dans toute activité adaptée – légère jusqu’à moyennement légère par intermittence – était de 80 % depuis le jour de l’accident, avec la possibilité d’une majoration du taux d’activité à 100 % au cours des mois à venir moyennant le suivi d’une thérapie adéquate – physiothérapie avec exercices à domicile pour le syndrome cervical, complétés par un suivi neurologique pour les céphalées. Sur la base de ces éléments, l’office AI du canton de Bâle-Campagne avait considéré que</w:t>
      </w:r>
    </w:p>
    <w:p>
      <w:r>
        <w:t>A/3171/2019 - 28/34 - l’exercice d’une activité adaptée était exigible à 80 % et que le degré d’invalidité s’élevait à 20 % en 2004. À la suite de la nouvelle demande déposée le 20 avril 2015, plus précisément de l’avis du 18 mars 2016, dans lequel le SMR estimait que l’aggravation des cervicalgies chroniques post AVP (ayant motivé une hospitalisation aux HUG du 9 au 13 novembre 2015), ainsi que le bilan IRM du 5 février 2016, rendaient plausible l’aggravation de l’état de santé de la recourante, l’intimé a ordonné une expertise bi-disciplinaire rhumatologique et psychiatrique dans laquelle les expertes du BEM-Vevey ont estimé que neuf ans après les clichés de 2005, ceux de 2014, complétés d’IRM, ne permettaient pas d’admettre l’évolution d’une discarthrose érosive, congestive ou compressive qui aurait menacé les structures adjacentes, de sorte qu’il n’y avait pas d’argument probant pour attester d’une aggravation significative de l’état de santé somatique de la recourante depuis l’expertise de l’ABI du 15 mai 2009 sur laquelle se fondait la décision du 28 mai 2010 (expertise, p. 60). D’un point de vue psychiatrique, le fait d’évoquer d’autres sujets que les algies et de « se montrer alors souriante et tonique » (expertise, p. 77) infirmait un syndrome douloureux somatoforme persistant – les personnes souffrant de ce trouble présentant une humeur constamment abaissée et un discours tournant essentiellement autour des algies – mais correspondait à une majoration de symptômes physiques pour des raisons psychologiques à laquelle s’ajoutaient des traits histrioniques et narcissiques de la personnalité, sans que l’on puisse retenir un trouble de la personnalité. Par ailleurs, les recherches pour un trouble anxieux, une anxiété généralisée, des attaques de panique, un état de stress post-traumatique, un trouble affectif bipolaire ou une psychose s’étaient révélées négatives. Enfin, l’échelle de dépression de Hamilton effectuée le jour de l’expertise (6 novembre 2018) montrait un score de 11 points, lequel était insuffisant pour retenir un épisode dépressif même léger. Si d’un point de vue somatique, les rapports versés au dossier après le rapport d’expertise du BEM-Vevey du 10 décembre 2018 ne font pas état de changements dans les diagnostics, il n’en va pas de même d’un point de vue psychiatrique, compte tenu des soins ambulatoires intensifs prodigués par le CAPPI Eaux-Vives depuis le 15 mai 2019 en raison d’une péjoration anxio-dépressive atteignant, selon le rapport du 10 juillet 2019 de la Dresse T______, l’intensité d’un épisode dépressif sévère sans symptômes psychotiques (F32.2), ainsi qu’un syndrome somatoforme douloureux actuellement aggravé, compte tenu de la péjoration de l’état psychique (dossier AI, doc. 226, pp. 782-783). Dans son avis du 23 septembre 2019, le SMR objecte certes qu’au terme de l’intervention ambulatoire du CAPPI – qui a pris fin le 17 juillet 2019 –, le second rapport de la Dresse T______, du 8 août 2019, fait état d’une évolution favorable, de sorte qu’il n’y aurait eu, selon le SMR, qu’une aggravation temporaire de l’état psychique qui ne modifierait donc pas ses conclusions du 19 décembre 2018 (capacité de travail entière dans l’ancienne activité d’aide-comptable et dans toute</w:t>
      </w:r>
    </w:p>
    <w:p>
      <w:r>
        <w:t>A/3171/2019 - 29/34 - activité adaptée aux limitations fonctionnelles de son rachis). Quoi qu’il en soit, la chambre de céans ne saurait se fonder sur l’avis du SMR du 23 septembre 2019 dont l’auteur, la Dresse V______ n’est pas spécialiste en psychiatrie (cf. https://www.medregom.admin.ch/FR). Par ailleurs, l’appréciation de cette dernière, selon laquelle l’aggravation de l’état psychique n’aurait été ni notable ni durable repose sur des bases pour le moins ténues. À cet égard, l’intimé rappelle certes (à juste titre) que le juge des assurances sociales apprécie la légalité des décisions attaquées, en règle générale, d’après l’état de fait existant au moment où la décision litigieuse a été rendue et que les faits survenus postérieurement, et qui ont modifié cette situation, doivent normalement faire l’objet d’une nouvelle décision administrative (ATF 121 V 366 consid. 1b et les références). Cela étant, le rapport du 10 juillet 2019 de la Dresse T______ fait remonter l’état dépressif sévère et les douleurs chroniques à caractère post-traumatique invalidant au 15 mai 2019, date du début de l’intervention ambulatoire du CAPPI, de sorte que l’aggravation indiquée est antérieure à la décision litigieuse (27 juin 2019). Quant à la situation postérieure à cette dernière, elle a été marquée, dans un premier temps, par la fin de l’intervention ambulatoire du CAPPI (17 juillet 2019) et, dans un second temps, par le début du programme du CAPPI, « orienté sur le rétablissement », le 23 juillet 2019. Cependant, dans la mesure où pour la situation postérieure au 23 juillet 2019, la Dresse U______ faisait toujours état, le 13 novembre 2019, de signes cliniques psychiatriques et cognitifs compatibles avec un état dépressif sévère sans symptôme psychotique et d’une maladie psychiatrique semblant actuellement se chroniciser et durer dans le temps, on ne saurait suivre la Dresse V______ en tant qu’elle affirme, le 23 septembre 2019, que l’aggravation ne serait ni notable ni durable et qu’ainsi les conclusions du SMR du 19 décembre 2018, elles-mêmes calquées sur le rapport d’expertise du BEM-Vevey, seraient toujours valables. Force est au contraire de constater que le volet psychiatrique de cette expertise ne tient pas compte de l’aggravation décrite par les deux médecins du CAPPI et qu’en conséquence, la chambre de céans ne saurait se fonder sur les conclusions de l’experte psychiatre S______. Quant au volet rhumatologique du même rapport d’expertise, ce ne sont certes pas des rapports médicaux postérieurs à celui-ci qui remettent en question sa valeur probante, mais les contradictions qu’il comporte. En effet, dans son analyse de la cervicarthrose sans radiculopathie ni myélopathie, l’experte rhumatologue R______ indique que « l’exigibilité dans un travail adapté reste de 80 % tout comme cela avait été déterminé lors de l’expertise de 2009 » (expertise, p. 31 et 33), alors qu’elle retient un peu plus loin que « dans une activité légère, principalement sédentaire, mais permettant des changements de positions, comme son activité d’aide-comptable le lui permettait […], la capacité de travail [lui] apparaît totale, sous réserve d’une diminution de rendement « de 20 % inhérente aux épisodes plus aigus » (expertise, p. 60). Bien que l’experte n’explique pas ce qu’il faut comprendre par « épisodes plus aigus », force est toutefois de constater que la justification avancée à l’appui de cette diminution de rendement est assortie d’explications qui tantôt en élargissent, tantôt en restreignent le champ. Ainsi, sous</w:t>
      </w:r>
    </w:p>
    <w:p>
      <w:r>
        <w:t>A/3171/2019 - 30/34 - le ch. 5.5.1, la Dresse R______ admet que même si l’activité habituelle d’aide- comptable est adaptée (car elle est sédentaire et offre la possibilité d’alterner les positions), il y a lieu de retenir « une baisse de rendement de 20 % dans un tel poste si [la recourante] devait travailler à 100%. Cela pour augmenter les périodes de pause et l’alternance des positions » (expertise, p. 63) ou pour « permettre des changements de position plus fréquents » (expertise, p. 66). Or, dans le cadre de la discussion consensuelle des experts, il n’est question d’une diminution de la « CT de 20% » (NDR : probablement synonyme de « diminution du rendement de 20% » ; cf. pp. 36 et 66 de l’expertise) seulement si « Mme devait retravailler continuellement devant un écran d’ordinateur » (expertise, p. 37), sans qu’il existe de motivation à l’appui de cette appréciation plus restrictive, laquelle revient à ne pas reconnaître de diminution de rendement notamment dans l’activité habituelle puisque cette dernière n’impliquait pas un travail constant devant l’ordinateur (cf. expertise, p. 66). La chambre de céans relève également que dans son avis du 19 décembre 2018, le SMR s’est fondé sur cette dernière hypothèse, moins favorable à la recourante, et qu’il en a fait de même au niveau des charges admissibles, au sujet desquelles l’experte rhumatologue se contredit également ; cette dernière évoque tantôt des limitations fonctionnelles inchangées depuis 2003, en particulier la nécessité de ne pas porter de manière répétitive des charges supérieures à 5 kg et, de manière occasionnelle, de plus de 8 kg (cf. expertise, p. 60), et tantôt l’absence de port de charges de plus de 2 à 3 kg de manière régulière et de plus de 5 kg de manière occasionnelle (cf. expertise, pp. 63 et 66). Au vu de ces indications contradictoires quant à la diminution de rendement et l’ampleur des limitations fonctionnelles, « [l’absence] d’argument probant pour attester d’une aggravation signification de l’état de santé […] depuis l’expertise ABI du 15.05.2009 » (expertise, p. 60) apparaît d’autant moins fiable et étayée que la Dresse R______ indique elle-même qu’elle ne disposait « pas des clichés scintigraphiques Spect/CT IMGE [du 24 mai 2016] évoqués par le Dr O______ comme discrètement hypercaptants à l’étage C5-C6 », documents dont elle relativise cependant la portée, sans les avoir examinés, en affirmant que cela « pouvait traduire à ce moment-là d’une poussée active de cervicarthrose à cet étage […] » (expertise, p. 59).</w:t>
      </w:r>
    </w:p>
    <w:p>
      <w:r>
        <w:rPr>
          <w:b/>
        </w:rPr>
        <w:t>E. 13</w:t>
      </w:r>
    </w:p>
    <w:p>
      <w:r>
        <w:t>Des mesures de réadaptation professionnelles sont-elles envisageables ?</w:t>
      </w:r>
    </w:p>
    <w:p>
      <w:r>
        <w:rPr>
          <w:b/>
        </w:rPr>
        <w:t>E. 14</w:t>
      </w:r>
    </w:p>
    <w:p>
      <w:r>
        <w:t>Faire toutes autre observations ou suggestions utiles. E. Invite les experts à faire une appréciation consensuelle du cas s’agissant de toutes les problématiques ayant des interférences entre elles, notamment l’appréciation de la capacité de travail résiduelle. II. Réserve le sort des frais jusqu’à droit jugé au fond.</w:t>
      </w:r>
    </w:p>
    <w:p>
      <w:r>
        <w:t>La greffière</w:t>
      </w:r>
    </w:p>
    <w:p>
      <w:r>
        <w:t>Le président</w:t>
      </w:r>
    </w:p>
    <w:p>
      <w:r>
        <w:t>A/3171/2019 - 34/34 -</w:t>
      </w:r>
    </w:p>
    <w:p>
      <w:r>
        <w:t>Diana ZIERI</w:t>
      </w:r>
    </w:p>
    <w:p>
      <w:r>
        <w:t>Philippe KNUPFER</w:t>
      </w:r>
    </w:p>
    <w:p>
      <w:r>
        <w:t>Une copie conforme de la présente ordonnance est notifiée aux parties par le greffe le</w:t>
      </w:r>
    </w:p>
    <w:p>
      <w:r>
        <w:t>ainsi que pour information au Dr X______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