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ATAS/733/2016 vom 12. September 2016</w:t>
      </w:r>
    </w:p>
    <w:p>
      <w:r>
        <w:t>GE Cour de justice, 2016-09-12, FR</w:t>
      </w:r>
    </w:p>
    <w:p>
      <w:r>
        <w:rPr>
          <w:b/>
        </w:rPr>
        <w:t xml:space="preserve">Quelle: </w:t>
      </w:r>
      <w:r>
        <w:t>https://mcp.opencaselaw.ch/entscheid/ge_gerichte_ATAS_733_2016</w:t>
      </w:r>
    </w:p>
    <w:p>
      <w:r>
        <w:t>FR: GE_GERICHTE ATAS/733/2016 du 12 septembre 2016</w:t>
      </w:r>
    </w:p>
    <w:p>
      <w:r>
        <w:t>IT: GE_GERICHTE ATAS/733/2016 del 12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 ss LPGA), le présent recours est recevable.</w:t>
      </w:r>
    </w:p>
    <w:p>
      <w:r>
        <w:rPr>
          <w:b/>
        </w:rPr>
        <w:t>E. 4</w:t>
      </w:r>
    </w:p>
    <w:p>
      <w:r>
        <w:t>a. Le litige porte uniquement sur le modèle de pied prothétique qu'il convient d'adjoindre à la prothèse tibiale auquel la recourante a droit.</w:t>
      </w:r>
    </w:p>
    <w:p>
      <w:r>
        <w:rPr>
          <w:b/>
        </w:rPr>
        <w:t>E. 5</w:t>
      </w:r>
    </w:p>
    <w:p>
      <w:r>
        <w:t>a. L’art. 8 LAI prévoit que les assurés invalides ou menacés d'une invalidité ont droit à des mesures de réadaptation pour autant que ces mesures soient nécessaires</w:t>
      </w:r>
    </w:p>
    <w:p>
      <w:r>
        <w:t>A/3057/2015 - 10/15 -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b. En vertu de l’art. 21 al. 1 phr. 1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c.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d.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w:t>
      </w:r>
    </w:p>
    <w:p>
      <w:r>
        <w:t>A/3057/2015 - 11/15 - assuré a droit à la remise d'un moyen auxiliaire figurant dans la liste en annexe mais qu'il se contente d'un autre moyen moins onéreux remplissant les mêmes fonctions, ce dernier doit lui être remis même s'il ne figure pas dans la liste (al. 5). e.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 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 f. 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w:t>
      </w:r>
    </w:p>
    <w:p>
      <w:r>
        <w:t>A/3057/2015 - 12/15 - existant (ATF 122 V 212 consid. 2c ; ATF 110 V 99 consid. 2). La remise de moyens auxiliaires luxueux est exclue (Alfred MAURER, Schweizerisches Unfallversicherungsrecht, Berne 1985 p. 317). g.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130 V 488 consid. 4.3.2). h.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w:t>
      </w:r>
    </w:p>
    <w:p>
      <w:r>
        <w:rPr>
          <w:b/>
        </w:rPr>
        <w:t>E. 6</w:t>
      </w:r>
    </w:p>
    <w:p>
      <w:r>
        <w:t>La recourante fait grief à l'OAI d'avoir refusé la prise en charge d'un pied Echelon, sans procéder à une nouvelle visite à domicile. a. À teneur de l'art. 43 al. 1 LPGA, l'assureur examine les demandes, prend d'office les mesures d'instruction nécessaires et recueille les renseignements dont il a besoin. Les renseignements donnés oralement doivent être consignés par écrit. Il ressort en outre de l'al. 3 de la même disposition que l'assuré a l'obligation de collaborer. b. La recourante n'a pas précisé en quoi l'état de fait retenu par l'OAI ne serait pas complet. Dans la mesure où un employé de la FSCMA s'était déjà rendu chez elle en 2011, soit trois ans auparavant, il n'était pas forcément nécessaire qu'un employé de ce service y retourne pour établir le rapport du 21 janvier 2014. L'assurée est malvenue de se plaindre du rapport de la FSCMA, dans la mesure où il ressort de son audition devant la chambre de céans, qu'elle n'a pas collaboré pleinement à l'enquête de ce service, en ne déclarant pas qu'elle était en arrêt de travail à 50 %, depuis le 12 décembre 2013 et qu'elle avait demandé une rente d'invalidité en conséquence, le 17 décembre 2013. Or, il s'agissait là, à l'évidence, d'une information utile pour apprécier l'ensemble de sa situation réelle. Il sera encore relevé que l'assurée a eu tout l'occasion de s'exprimer et produire ses moyens de preuve à l'OAI. Ce premier grief doit être ainsi rejeté.</w:t>
      </w:r>
    </w:p>
    <w:p>
      <w:r>
        <w:rPr>
          <w:b/>
        </w:rPr>
        <w:t>E. 7</w:t>
      </w:r>
    </w:p>
    <w:p>
      <w:r>
        <w:t>Il convient de déterminer ensuite si le pied Seattle Light, que l'OAI accepte de prendre en charge, répond au critère d'adéquation.</w:t>
      </w:r>
    </w:p>
    <w:p>
      <w:r>
        <w:t>A/3057/2015 - 13/15 -</w:t>
      </w:r>
    </w:p>
    <w:p>
      <w:r>
        <w:t>a. Il ressort du dossier que la prothèse équipée de ce pied permet depuis plusieurs années à l'assurée de se déplacer, en transport public et dans sa propre voiture, de travailler, de participer à des activités sociales et de vivre de façon autonome. b. Il n'est pas contestable que le pied Echelon lui apporterait un confort supplémentaire sous la forme d'une amélioration de la marche, d'une réduction des risques de chute et d'une diminution des contraintes mécaniques subies par le moignon, mais la jurisprudence a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à propos de l'interdiction de la discrimination à l'égard des personnes handicapées, voir ATF 134 I 105 consid. 4 p. 108; arrêt du Tribunal fédéral 9C_265/2012 du 12 octobre 2012 consid. 4.2). Lorsque la loi précise qu'un assuré a droit aux appareils qui sont nécessaires pour se déplacer, cela ne signifie pas que celui-ci doit pouvoir circuler sur tous les terrains et dans tous les lieux possibles. Comme mis en évidence précédemment, il doit exister, dans le cadre de l'assurance- invalidité sociale, un rapport raisonnable entre le but de réadaptation poursuivi, le bénéfice supposé apporté par le moyen en question et le coût de celui-ci (ATF 135 I 161 consid. 6 p. 167; voir également arrêt 8C_34/2011 du 13 septembre 2011 consid. 4.3, in SVR 2012 IV n° 20 p. 89). c. Ni la FSCMA, ni le prof. B______, ni le Dr E______ n'établissent que le pied prothétique Seattle Light serait un moyen désormais inapproprié sur le plan médical ou professionnel. Le prof. B______ a bien indiqué, le 19 mars 2014, que ce pied n'était plus adapté à l'état de l'assurée qui avait besoin d'une prothèse permettant d'avoir une bonne stabilité sur les surfaces inégales et sur les escaliers, mais aussi d'avoir un soulagement des pressions asymétriques sur le moignon et une dépense d'énergie diminuée, précisant que l'état de santé particulier de l'assurée justifiait le modèle de pied Echelon, car elle travaillait à 100 % et se déplaçait en transports publics, afin qu'elle puisse poursuivre son activité professionnelle au niveau actuel. Le prof. B______ n'a ainsi pas démontré sérieusement l'inadéquation du pied Seattle Light, dès lors que contrairement à ce qu'il a retenu, l'assuré ne travaillait pas à 100 %, au moment de son appréciation, mais seulement à 50 %, pour des motifs relevant de la maladie et indépendant de sa prothèse. Ainsi, l'on ne peut retenir que le pied Echelon permettrait à la recourante de poursuivre une activité professionnelle à plein temps. Par ailleurs, il ressort des déclarations de l'assurée à la chambre de céans qu'elle pourrait se déplacer en voiture à son travail et demander à bénéficier d'une place de parking dans l'immeuble où elle travaille, ce qui réduirait le risque de chute. Elle a précisé qu'elle ne le faisait pas, car elle voulait vivre « comme les autres». Si l'on doit saluer sa force de caractère et son courage, il n'en reste pas moins que l'on peut</w:t>
      </w:r>
    </w:p>
    <w:p>
      <w:r>
        <w:t>A/3057/2015 - 14/15 - attendre d'elle qu'elle adapte sa façon de vivre à son handicap et qu'elle utilise les ressources dont elle peut bénéficier et auxquelles il est légitime qu'elle ait accès. Il sera encore relevé qu'elle effectue un travail de bureau, de sorte que son besoin de déplacement doit être relativisé. d. Le fait que l'assurée travaille à 50 % est de nature à réduire le risque d'usure du moignon. Par ailleurs ce problème doit être relativisé car elle a précisé devant la chambre de céans qu'il ne se posait que lorsqu'il faisait chaud et pas en hiver. e. La recourante a enfin allégué qu'un pied Echelon lui permettrait d'empêcher une dégradation de son état de santé. Cette argumentation relève toutefois pour l'instant de la conjecture. f. Il résulte des considérations qui précèdent que le pied Seattle Light répond au critère d'adéquation. Il n'est pas contesté qu'il répond également au critère de simplicité. g. Dans la mesure où le coût de la prothèse équipée du pied Echelon est deux fois plus élevé que si elle l'était du pied Seattle Light et eu égard au fait que le pied Echelon doit être renouvelé régulièrement (cf. arrêt du Tribunal fédéral 9C_600/2011 du 20 avril 2012 consid. 4.3), il n'existe pas de rapport raisonnable entre le coût et l'utilité de ce pied. Le Tribunal fédéral a jugé, récemment, qu'il représentait une avancée sur le plan technologique qui ne pouvait être ignorée des autorités administratives (ATF 132 V 215 consid. 4.3.3 p. 226), mais que cela ne saurait cependant justifier sa prise en charge, au risque sinon de permettre le remboursement indifférencié de chaque nouveauté technique, scientifique ou technologique introduite sur le marché (arrêt du Tribunal fédéral 9C_279/2015 du</w:t>
      </w:r>
    </w:p>
    <w:p>
      <w:r>
        <w:rPr>
          <w:b/>
        </w:rPr>
        <w:t>E. 10</w:t>
      </w:r>
    </w:p>
    <w:p>
      <w:r>
        <w:t>novembre 2015 consid. 4.2.). h. En conséquence, c'est à juste titre que l'OAI a refusé de prendre en charge le pied Echelon et sa décision doit être confirmée. 8. Le recours doit ainsi être rejeté rejeté. 9. La procédure en matière d'assurance-invalidité n'étant pas gratuite (art. 69 al. 1bis LAI), la recourante supportera un émolument de CHF 200.-.</w:t>
      </w:r>
    </w:p>
    <w:p>
      <w:r>
        <w:t>A/3057/2015 - 15/15 -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