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ATAS/732/2024 vom 25. September 2024</w:t>
      </w:r>
    </w:p>
    <w:p>
      <w:r>
        <w:t>GE Cour de justice, 2024-09-25, FR</w:t>
      </w:r>
    </w:p>
    <w:p>
      <w:r>
        <w:rPr>
          <w:b/>
        </w:rPr>
        <w:t xml:space="preserve">Quelle: </w:t>
      </w:r>
      <w:r>
        <w:t>https://mcp.opencaselaw.ch/entscheid/ge_gerichte_ATAS_732_2024</w:t>
      </w:r>
    </w:p>
    <w:p>
      <w:r>
        <w:t>FR: GE_GERICHTE ATAS/732/2024 du 25 septembre 2024</w:t>
      </w:r>
    </w:p>
    <w:p>
      <w:r>
        <w:t>IT: GE_GERICHTE ATAS/732/2024 del 25 settembre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trente jours (art. 56 LPGA; art. 62 al. 1 de la de loi sur la procédure administrative du 12 septembre 1985 [LPA - E 5 10]). Interjeté dans la forme et le délai prévus par la loi, le recours est recevable.</w:t>
      </w:r>
    </w:p>
    <w:p>
      <w:r>
        <w:rPr>
          <w:b/>
        </w:rPr>
        <w:t>E. 2</w:t>
      </w:r>
    </w:p>
    <w:p>
      <w:r>
        <w:t>Le litige porte sur le bien-fondé de la décision de l’intimé supprimant le droit de la recourante à une rente entière et lui niant le droit à des mesures d’ordre professionnel.</w:t>
      </w:r>
    </w:p>
    <w:p>
      <w:r>
        <w:rPr>
          <w:b/>
        </w:rPr>
        <w:t>E. 3.1</w:t>
      </w:r>
    </w:p>
    <w:p>
      <w:r>
        <w:t>Le 1er janvier 2022, les modifications de la LAI du 19 juin 2020 (développement continu de l’AI ; RO 2021 705), y compris les ordonnances correspondantes, sont entrées en vigueur. Dans le cadre de cette révision, l'art. 17 LPGA a notamment été adapté.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Dans les cas de révision selon l'art. 17 LPGA, conformément aux principes généraux du droit intertemporel (cf. ATF 144 V 210 consid. 4.3.1), il convient d’évaluer, selon la situation juridique en vigueur jusqu’au 31 décembre 2021, si une modification déterminante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pertinente de la modification est déterminée par l'art. 88a RAI (arrêts du Tribunal fédéral 8C_55/2023 du 11 juillet 2023 consid. 2.2 ; 8C_644/2022 du 8 février 2023 consid. 2.2.3).</w:t>
      </w:r>
    </w:p>
    <w:p>
      <w:r>
        <w:t>A/435/2022 - 6/15 - En l’occurrence, la décision litigieuse a été rendue après le 1er janvier 2022. Toutefois, l’intimé se prévaut d’un changement de circonstance qui serait survenu avant cette date. Par conséquent, ce sont les dispositions en vigueur jusqu’au 31 décembre 2021 qui sont applicables.</w:t>
      </w:r>
    </w:p>
    <w:p>
      <w:r>
        <w:rPr>
          <w:b/>
        </w:rPr>
        <w:t>E. 3.2</w:t>
      </w:r>
    </w:p>
    <w:p>
      <w:r>
        <w:t>L’art. 17 al. 1 LPGA dispose que si le taux d’invalidité du bénéficiaire de la rente subit une modification notable, la rente est, d’office ou sur demande, révisée pour l’avenir, à savoir augmentée ou réduite en conséquence, ou encore supprimée.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3.3</w:t>
      </w:r>
    </w:p>
    <w:p>
      <w:r>
        <w:t>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3.4</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arrêt du Tribunal fédéral des assurances I 786/04 du 19 janvier 2006 consid. 3.1).</w:t>
      </w:r>
    </w:p>
    <w:p>
      <w:r>
        <w:t>A/435/2022 - 7/15 -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143 V 418 consid. 6 et 7). 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w:t>
      </w:r>
    </w:p>
    <w:p>
      <w:r>
        <w:t>A/435/2022 - 8/15 -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Le juge vérifie librement si l’expert médical a exclusivement tenu compte des déficits fonctionnels résultant de l’atteinte à la santé et si son évaluation de l’exigibilité repose sur une base objective.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w:t>
      </w:r>
    </w:p>
    <w:p>
      <w:r>
        <w:t>A/435/2022 - 9/15 -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w:t>
      </w:r>
    </w:p>
    <w:p>
      <w:r>
        <w:rPr>
          <w:b/>
        </w:rPr>
        <w:t>E. 4</w:t>
      </w:r>
    </w:p>
    <w:p>
      <w:r>
        <w:t>Il convient d’examiner en premier lieu la valeur probante de l’expertise du Dr H______.</w:t>
      </w:r>
    </w:p>
    <w:p>
      <w:r>
        <w:rPr>
          <w:b/>
        </w:rPr>
        <w:t>E. 4.1</w:t>
      </w:r>
    </w:p>
    <w:p>
      <w:r>
        <w:t>La chambre de céans constate qu’elle répond a priori au réquisits permettant de lui reconnaître une telle valeur, ce avec quoi la recourante est d’accord. L’intimé, sur la base d’un avis du SMR du 16 mai 2024, fait valoir que l’expertise présente des défauts.</w:t>
      </w:r>
    </w:p>
    <w:p>
      <w:r>
        <w:rPr>
          <w:b/>
        </w:rPr>
        <w:t>E. 4.2</w:t>
      </w:r>
    </w:p>
    <w:p>
      <w:r>
        <w:t>Il a relevé que le Dr H______ n’avait pas spécifié si les diagnostics posés étaient avec ou sans répercussion sur la capacité de travail de la recourante. La chambre de céans constate que le Dr H______ a retenu les diagnostics d’anorexie mentale, de troubles anxieux généralisés avec agoraphobie, de trouble de la personnalité anxieuse, de trouble dépressif épisode actuel moyen, de trouble dépressif récurrent et de TDAH adulte et qu’il considéré que les limitations liées à ces diagnostics avaient entrainé une incapacité de travail de longue durée à partir du mois de septembre 2022, comme mentionné dans les différents rapports médicaux de la recourante. Il ressort ainsi de son rapport que l’expert a considéré que tous les diagnostics posés avaient un effet sur la capacité de travail de la recourante, ce qui ressort également des limitations fonctionnelles qu’il a posées, à savoir une fatigue mentale et physique, des difficultés de concentration, des troubles de la mémoire, une anxiété permanente avec des phases de crise et un manque d’endurance physique provoqué et aggravé par les troubles de conduite alimentaire qui persistaient. Il n’apparait ainsi pas nécessaire de faire compléter l’expertise pour déterminer si un diagnostic ne serait pas incapacitant.</w:t>
      </w:r>
    </w:p>
    <w:p>
      <w:r>
        <w:rPr>
          <w:b/>
        </w:rPr>
        <w:t>E. 4.3</w:t>
      </w:r>
    </w:p>
    <w:p>
      <w:r>
        <w:t>L’intimé a fait valoir que l’examen clinique de l’expert judiciaire avait été très succinct et qu’il retenait une anxiété, sans décrire si la recourante présentait de manière objective des manifestations anxieuses, notamment neurovégétatives. Il n’y avait pas de description d’attaques de panique ni de leur fréquence, étant rappelé que le Dr F______ avait relevé que l’assurée n’en présentait plus depuis un an.</w:t>
      </w:r>
    </w:p>
    <w:p>
      <w:r>
        <w:t>A/435/2022 - 10/15 - La chambre de céans relève à cet égard que l’expert a indiqué dans son rapport avoir constaté lors des entretiens que la recourante se montrait anxieuse avec une certaine labilité affective et beaucoup d’émotions lorsqu’elle décrivait sa situation actuelle, ses troubles et l’histoire de sa maladie. En lien avec le rapport d’expertise du Dr F______ du 4 mai 2021, le Dr H______ a indiqué que la recourante avait des crises d’angoisse et de panique très fréquentes quand elle s’exposait aux sorties à l’extérieur ou dans les situations sociales et très fréquentes dans son anamnèse depuis des années. Il ressort encore du rapport d’expertise que la recourante s’est plainte d’avoir des angoisses concernant l’état de santé de ses parents qui étaient très âgés et qui avaient des problèmes de santé. Elle avait très peur de leur décès et de faire une dépression. L’expert a en outre indiqué que les atteintes diagnostiquées limitaient les fonctions nécessaires à la gestion du quotidien de la recourante, et en particulier, que le trouble anxieux et l’agoraphobie aux lieux publics et aux transports en commun limitaient son exposition à l’extérieur et aux situations sociales. Le fait qu’il n’ait pas décrit de manière détaillée les attaques de panique de la recourante ni de leur fréquence ne suffit à remettre en cause les conclusions de l’expert qui sont convaincantes.</w:t>
      </w:r>
    </w:p>
    <w:p>
      <w:r>
        <w:rPr>
          <w:b/>
        </w:rPr>
        <w:t>E. 4.4</w:t>
      </w:r>
    </w:p>
    <w:p>
      <w:r>
        <w:t>L’intimé fait valoir que l’expert avait retenu le diagnostic de trouble dépressif récurrent, épisode actuel moyen, en se fondant sur des tests psychométriques et qu’il n’y avait pas de description de la symptomatologie ad hoc dans son examen clinique succinct. Il n’y avait notamment pas de description de troubles cognitifs objectifs, étant rappelé que le Dr F______, lors de son expertise, n’avait pas mis en évidence d’éléments objectifs pour retenir le diagnostic d’épisode dépressif, notamment en se fondant sur son examen clinique objectif et non sur des plaintes subjectives. La chambre de céans relève que l’expert H______ ne s’est pas fondé uniquement sur des tests psychométriques pour retenir le diagnostic de trouble dépressif récurrent, épisode actuel moyen, puisqu’il a indiqué, sous status clinique et constatations objectives, qu’il avait constaté une certaine labilité de l’humeur compatible avec un état dépressif. Le fait que le Dr F______ ait eu une autre appréciation de ce diagnostic n’est pas déterminant, dès lors que la chambre de céans a considéré dans son ordonnance d’expertise du 31 mars 2023 que ce médecin avait pu minimiser l’importance du trouble dépressif de la recourante, dans la mesure où il s’était contenté de constater que les critères de ce trouble n’étaient plus présents lors de son expertise, sans prendre en compte le risque d’aggravation en cas de reprise du travail à 100%, en particulier dans le domaine de la vente en parfumerie. La recourante a relevé que le Dr F______ l’avait vue dans une bonne période et que si son état dépressif s'était alors amélioré, cette amélioration n’avait pas duré, puisque son état s’était aggravé à nouveau entre la fin du mois de décembre 2021 et le début du mois janvier 2022. Elle a ajouté qu’elle avait pu progresser dans sa</w:t>
      </w:r>
    </w:p>
    <w:p>
      <w:r>
        <w:t>A/435/2022 - 11/15 - gestion de ses crises de panique et que son état dépressif s’était amélioré pendant une période où elle ne travaillait pas, sortait peu de chez elle et avait peu d’interactions. Il ressort du rapport établi le 9 septembre 2022 par la Dre B______ que cette dernière a repris le suivi de la recourante en janvier 2022 et qu’elle avait alors constaté un état dépressif qui n’avait cessé de s’aggraver et qui avait conduit à une hospitalisation de jour dès mars 2022, ce qui corrobore les déclarations de la recourante. En conséquence, les conclusions de l’expert judiciaire sur le diagnostic de trouble dépressif récurrent, épisode actuel moyen ne sont pas sérieusement remises en cause par l’intimé.</w:t>
      </w:r>
    </w:p>
    <w:p>
      <w:r>
        <w:rPr>
          <w:b/>
        </w:rPr>
        <w:t>E. 4.5</w:t>
      </w:r>
    </w:p>
    <w:p>
      <w:r>
        <w:t>L’intimé a fait valoir que le diagnostic de TDAH était nouveau et qu’il n’avait jamais été évoqué antérieurement. On ne savait pas comment il interférait avec les autres diagnostics, si la recourante présentait en plus une hyperactivité et si les troubles de l’attention pouvaient être simplement intégrés au diagnostic de trouble anxieux et/ou dépressif. La chambre de céans constate que l’expert judiciaire a indiqué dans son rapport, sous la rubrique relative au status clinique et aux constatations objectives, que la recourante avait parfois une certaine accélération mentale et psychique, qui pouvait être favorisée par l’anxiété, mais qui était probablement liée à un trouble de l’attention de longue date, non diagnostiqué ni traité, car il avait été objectivé par les réponses à un questionnaire. L’expert a ainsi tenu compte du diagnostic de TDAH, sans que celui-ci apparaisse comme déterminant dans les limitations de l’assurée, dès lors que l’expert n’a pas précisé le degré de gravité de ce diagnostic, alors qu’il a précisé que le trouble de conduite alimentaire et l’anorexie étaient sévères et que l’état dépressif et le trouble anxieux étaient de gravité moyenne. L’expert n’a pas décrit de limitations spécifiques liées au TDAH. Il n’apparait donc pas nécessaire de faire compléter l’expertise sur ce point, qui n’apparaît pas déterminant, au vu de la situation globale de la recourante.</w:t>
      </w:r>
    </w:p>
    <w:p>
      <w:r>
        <w:rPr>
          <w:b/>
        </w:rPr>
        <w:t>E. 4.6</w:t>
      </w:r>
    </w:p>
    <w:p>
      <w:r>
        <w:t>L’intimé a relevé que l’expert retenait le diagnostic de trouble de la personnalité anxieuse, alors que les avis médicaux figurant au dossier sur ces troubles étaient très variables. Le Dr C______ retenait une personnalité mixte, anxieuse et dépendante, certains médecins une personnalité anxieuse et d’autres une personnalité dépendante. Le Dr F______ retenait quant à lui une personnalité borderline. Quel que soit le diagnostic retenu, il n’avait pas été retenu comme incapacitant selon le C______, la recourante ayant réussi à se former et à travailler plusieurs années. La chambre de céans constate que selon l’expert judiciaire, la recourante souffre d’un trouble de la personnalité anxieuse, en sus d’un trouble anxieux généralisé avec agoraphobie. Ce dernier trouble, qualifié de moyen par l’expert, entraîne, selon lui, une diminution des capacités de la recourante pour affronter les</w:t>
      </w:r>
    </w:p>
    <w:p>
      <w:r>
        <w:t>A/435/2022 - 12/15 - situations sociales à l’extérieur de son domicile quelle que soit l’activité. Le trouble de la personnalité apparaît ainsi accessoire par rapport au trouble anxieux. Le fait que le Dr C______ ait retenu une personnalité mixte, anxieuse et dépendante, non incapacitante, au motif que la recourante avait réussi à se former et à travailler durant plusieurs années, ne remet pas sérieusement en cause les conclusions du Dr H______, qui n’a pas pris en compte ce diagnostic pour retenir une incapacité totale de travail de la recourante. Il a seulement précisé que la recourante présentait un trouble de la personnalité anxieuse et que ce terrain avait favorisé le trouble d’anxiété généralisé avec agoraphobie, qui était incapacitant. L’expert a encore précisé que le trouble de la personnalité avait favorisé des problématiques en lien avec les limitations de la recourante pour affronter des situations sociales, les transports publics et les réactions anxieuses en cas de facteur de stress extérieur qui touchait les membres de sa famille. De plus, le Dr C______ a rendu son rapport le 5 mars 2015, soit avant la période relevante dans le présent litige, qui fait suite à une révision entamée par l’intimé en mai 2020. Les conclusions de l’expert judiciaire ne sont ainsi pas sérieusement remises en cause par l’intimé.</w:t>
      </w:r>
    </w:p>
    <w:p>
      <w:r>
        <w:rPr>
          <w:b/>
        </w:rPr>
        <w:t>E. 4.7</w:t>
      </w:r>
    </w:p>
    <w:p>
      <w:r>
        <w:t>L’intimé estime que la description de la journée quotidienne de la recourante faite par l’expert judiciaire n’est pas complète. On ne savait pas si elle pouvait effectuer des tâches administratives et si elle s’occupait de celles de ses parents, des courses, des lessives et si elle lisait. La chambre de céans estime qu’il n’est pas nécessaire de faire compléter par l’expert judiciaire sa description de la journée quotidienne de la recourante, ses conclusions s’agissant de la capacité de travail étant suffisamment motivées pour être convaincantes et les compléments demandés n’apparaissant pas susceptibles de les modifier. En effet, la recourante est principalement limitée par son trouble anxieux généralisé avec agoraphobie, de sorte que le détail de ce qu’elle fait chez elle n’est pas déterminant dans son cas.</w:t>
      </w:r>
    </w:p>
    <w:p>
      <w:r>
        <w:rPr>
          <w:b/>
        </w:rPr>
        <w:t>E. 4.8</w:t>
      </w:r>
    </w:p>
    <w:p>
      <w:r>
        <w:t>L’intimé fait valoir, concernant le trouble alimentaire, que le Dr C______ ne l’avait pas retenu comme incapacitant, car il n’avait pas empêché la recourante de travailler. Actuellement, il demeurait présent, avec une consommation de traitement laxatif (en diminution) entrainant des pertes électrolytiques, pouvant occasionner une fatigue, mais supplémenté. Par ailleurs, la recourante n’avait pas décrit de nouveaux malaises avec perte de connaissance depuis 2012. La chambre de céans retient que le fait que le Dr C______ n’avait pas retenu comme incapacitant le trouble alimentaire n’est pas déterminant, dès lors que celui-ci a rendu ses conclusions en 2015, soit avant la période relevante dans le présent litige.</w:t>
      </w:r>
    </w:p>
    <w:p>
      <w:r>
        <w:rPr>
          <w:b/>
        </w:rPr>
        <w:t>E. 4.9</w:t>
      </w:r>
    </w:p>
    <w:p>
      <w:r>
        <w:t>Il convient encore d’examiner si l’expert a correctement procédé à l’analyse des indicateurs d’exigibilité et la jurisprudence en la matière.</w:t>
      </w:r>
    </w:p>
    <w:p>
      <w:r>
        <w:t>A/435/2022 - 13/15 - Les diagnostics posés par le Dr H______ et les constatations médicales ont été exposés conformément aux exigences de la jurisprudence. L’expert a précisé le degré de gravité de chacun des troubles diagnostiqués, sous réserve du TDAH adulte, et retenu en particulier que le trouble de conduite alimentaire et d’anorexie était sévère, que l’état dépressif était de gravité moyenne, avec risque d’évoluer vers une forme sévère, et que le trouble anxieux était également de gravité moyenne, avec crises de panique et agoraphobie et un avec risque d’aggravation. Il a fait état des manifestations concrètes des diagnostics posés, relevant que les restrictions alimentaires et la prise de laxatifs conditionnaient les efforts physiques et la mobilité de la recourante et entraînaient une restriction de ses possibilités et une fatigue physique et mentale qui diminuait ses capacités. Le trouble anxieux et l’agoraphobie aux lieux publics et au transports en commun limitaient son exposition à l’extérieur et aux situations sociales, la recourante ayant des difficultés qualifiées d’énormes par l’expert sur ce plan. Sa vie était de plus en plus rétrécie dans l’espace et ses activités limitées. L’état dépressif influençait négativement tout projet d’investissement dans une activité à l’extérieur, étant relevé que la recourante avait déjà de la difficulté à se lever et un état de fatigue permanent. L’expert a relevé, s’agissant du traitement, que la recourante était suivie au programme de jour de la Clinique E______ depuis 2013, soit plus de 10 ans. Il a pris contact avec le médecin de cette clinique qui suivait la recourante, lequel lui a indiqué qu’elle était compliante et qu’elle participait aux séance de groupes et aux entretiens individuels avec son médecin, une psychologue et une nutritionniste. Une intensification de son suivi était prévue dans les prochains mois. Un engagement plus régulier ou quotidien à la Clinique était difficile pour la recourante en raison de l’aide qu’elle apportait à ses parents, qui passait pour elle en priorité. L’expert a fait procédé à un dosage sanguin qui a montré une concentration adéquate de l’Escitalopram. Il en résulte de ce qui précède que la recourante coopérait à son traitement sans que celui-ci permette d’améliorer son état. L’expert a précisé que les différents troubles associés dont souffrait la recourante limitaient sa capacité de travail. Sa fatigue, son anxiété et son état dépressif rendaient difficile tout projet de réinsertion. Il a retenu que son trouble de la personnalité anxieuse avait favorisé des problématiques en lien avec ses limitations pour affronter des situations sociales, les transports publics et les réactions anxieuses en cas de facteur de stress extérieur ou qui touchaient sa famille. S’agissant de des ressources de la recourante, elles étaient très limitées en raison de sa fatigue, de son anxiété, de son manque de confiance en elle. Elle ne pouvait pas compter sur le soutien de ses parents très âgés et malades. Ses troubles</w:t>
      </w:r>
    </w:p>
    <w:p>
      <w:r>
        <w:t>A/435/2022 - 14/15 - digestifs contribuaient en outre à diminuer ses capacités sur le plan physique et mental. L’expert a estimé qu’il n’y avait pas d’exagération des symptômes de la part de la recourante et relevé que ses troubles limitaient en particulier son exposition à l’extérieur tant en ce qui concernait une activité professionnelle, que ses activités occupationnelles et les situations sociales. L’expert a ainsi correctement appliqué la jurisprudence relative aux indicateurs d’exigibilité du Tribunal fédéral, qui attestent de la gravité de l’atteinte à la santé de la recourante. En conclusion, l’expertise judiciaire doit se voir reconnaître une pleine valeur probante, sans qu’il soit nécessaire de la faire compléter.</w:t>
      </w:r>
    </w:p>
    <w:p>
      <w:r>
        <w:rPr>
          <w:b/>
        </w:rPr>
        <w:t>E. 4.10</w:t>
      </w:r>
    </w:p>
    <w:p>
      <w:r>
        <w:t>Il en résulte que la recourante est toujours incapable de travailler et ce, depuis septembre 2012, de sorte que c’est de manière infondée que l’intimé a supprimé son droit à une rente entière d’invalidité dans sa décision du 7 janvier 2022.</w:t>
      </w:r>
    </w:p>
    <w:p>
      <w:r>
        <w:rPr>
          <w:b/>
        </w:rPr>
        <w:t>E. 5</w:t>
      </w:r>
    </w:p>
    <w:p>
      <w:r>
        <w:t>Le recours sera ainsi admis et la décision querellée annulée. La recourante obtenant gain de cause et étant assisté d’un conseil, elle a droit à des dépens qui seront fixés à CHF 4'000.- et mis à la charge de l’intimée (art. 61 let. g LPGA). Les frais qui découlent de la mise en œuvre d'une expertise judiciaire pluridisciplinaire peuvent être mis à la charge de l’OAI (cf. ATF 139 V 349 consid. 5.4), si ce dernier a procédé à une instruction présentant des lacunes ou des insuffisances caractérisées et que l'expertise judiciaire sert à pallier des manquements commis dans la phase d'instruction administrative (ATF 137 V 210 consid. 4.4.2). En l’espèce, les frais de l’expertise judiciaire seront laissés à la charge de l’État, l’intimé n’ayant pas procédé à une instruction présentant des lacunes ou des insuffisances caractérisées. Un émolument de CHF 200.- sera mis à la charge de l’intimé (art. 69 al. 1bis LAI).</w:t>
      </w:r>
    </w:p>
    <w:p>
      <w:r>
        <w:t>A/435/2022 - 15/15 -</w:t>
      </w:r>
    </w:p>
    <w:p>
      <w:r>
        <w:t>PAR CES MOTIFS, LA CHAMBRE DES ASSURANCES SOCIALES :</w:t>
      </w:r>
    </w:p>
    <w:p>
      <w:r>
        <w:t>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