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ATAS/732/2017 vom 28. August 2017</w:t>
      </w:r>
    </w:p>
    <w:p>
      <w:r>
        <w:t>GE Cour de justice, 2017-08-28, FR</w:t>
      </w:r>
    </w:p>
    <w:p>
      <w:r>
        <w:rPr>
          <w:b/>
        </w:rPr>
        <w:t xml:space="preserve">Quelle: </w:t>
      </w:r>
      <w:r>
        <w:t>https://mcp.opencaselaw.ch/entscheid/ge_gerichte_ATAS_732_2017</w:t>
      </w:r>
    </w:p>
    <w:p>
      <w:r>
        <w:t>FR: GE_GERICHTE ATAS/732/2017 du 28 août 2017</w:t>
      </w:r>
    </w:p>
    <w:p>
      <w:r>
        <w:t>IT: GE_GERICHTE ATAS/732/2017 del 28 agosto 2017</w:t>
      </w:r>
    </w:p>
    <w:p>
      <w:pPr>
        <w:pStyle w:val="Heading2"/>
      </w:pPr>
      <w:r>
        <w:t>Erwägungen</w:t>
      </w:r>
    </w:p>
    <w:p>
      <w:r>
        <w:rPr>
          <w:b/>
        </w:rPr>
        <w:t>E. 3</w:t>
      </w:r>
    </w:p>
    <w:p>
      <w:r>
        <w:t>mars 2017 irrecevable au motif que malgré le courrier du 7 mars 2017 l’assurée n’avait pas fait parvenir à l’OCE son opposition dûment signée ; Vu le recours de l’assurée du 16 juin 2017 adressé à la chambre des assurances sociales de la Cour de justice et contestant la sanction au motif qu’elle avait effectué plus que dix recherches d’emploi mensuelles ; Vu la réponse de l’OCE du 4 juillet 2017 concluant au rejet du recours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Que l’objet du litige porte sur le bien-fondé de l’irrecevabilité de l’opposition de la recourante mais non pas sur le bien-fondé de la suspension de trois jours du droit à l’indemnité de la recourante ;</w:t>
      </w:r>
    </w:p>
    <w:p>
      <w:r>
        <w:t>A/2684/2017 - 4/5 - Que selon l’art. 10 al. 1, 4 et 5 de l’ordonnance sur la partie générale du droit des assurances sociales du 11 septembre 2002 (OPGA – RS 830.11) l'opposition doit contenir des conclusions et être motivée (al. 1) ; que l'opposition écrite doit être signée par l'opposant ou par son représentant légal ;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 Qu’une opposition formée par e-mail n’est pas admissible (ATF 142 V 152) ; Que dans les rapports avec les autorités, la liberté de la langue est limitée par le principe de la langue officielle ; qu’en effet, sous réserve de dispositions particulières (par ex. les art. 5 par. 2 et 6 par. 3 let. a de la Convention européenne des droits de l’homme [CEDH]), il n’existe en principe aucun droit à communiquer avec les autorités dans une autre langue que la langue officielle ; que celle-ci est elle-même liée au principe de la territorialité, au sens où elle correspond normalement à la langue qui est parlée dans le territoire concerné ; que ces principes ont été formalisés dans la Constitution fédérale, notamment aux art. 18 et 70 (ATF 128 V 37 consid. 2b/aa). Que le principe de la territorialité des langues a pour conséquence que les parties doivent s’adresser aux autorités judiciaires cantonales dans la langue officielle du canton ; que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Qu’en l’espèce, la recourante a transmis un courriel d’opposition, rédigé en français le 10 mai 2017, voire au plus tôt le 5 mai 2017 à l’intimé ; Que ce faisant, elle n’a pas respecté la condition posée par l’intimé de lui faire parvenir d’ici au 22 mars 2017, sous peine d’irrecevabilité une opposition signée et rédigée en français ; Que, par ailleurs, les raisons médicales invoquées par la recourante ne sauraient justifier une restitution de délai au sens de l’art. 41 LPGA ; Qu’au vu de ce qui précède, la décision de l’intimé déclarant l’opposition de la recourante irrecevable, ne peut qu’être confirmée ; Que, partant, le recours sera rejeté ; Qu’au surplus la procédure est gratuite.</w:t>
      </w:r>
    </w:p>
    <w:p>
      <w:r>
        <w:t>A/2684/2017 - 5/5 -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